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8C_582/2008 vom 14. Januar 2009</w:t>
      </w:r>
    </w:p>
    <w:p>
      <w:r>
        <w:t>Bundesgericht, 2009-01-14, DE</w:t>
      </w:r>
    </w:p>
    <w:p>
      <w:r>
        <w:rPr>
          <w:b/>
        </w:rPr>
        <w:t xml:space="preserve">Quelle: </w:t>
      </w:r>
      <w:r>
        <w:t>https://mcp.opencaselaw.ch/entscheid/bger_8C_582_2008</w:t>
      </w:r>
    </w:p>
    <w:p>
      <w:r>
        <w:t>FR: TF 8C_582/2008 du 14 janvier 2009</w:t>
      </w:r>
    </w:p>
    <w:p>
      <w:r>
        <w:t>IT: TF 8C_582/2008 del 14 gennaio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w:t>
      </w:r>
    </w:p>
    <w:p>
      <w:r>
        <w:t>Streitig ist der Anspruch auf eine Rente der Invalidenversicherung und dabei die Frage, ob eine invaliditätsbegründende Gesundheitsschädigung vorliegt.</w:t>
      </w:r>
    </w:p>
    <w:p>
      <w:r>
        <w:t>Das kantonale Gericht hat im angefochtenen Entscheid, auf welchen verwiesen wird, die Bestimmungen über die Begriffe Invalidität ( Art. 8 ATSG ) und Erwerbsunfähigkeit ( Art. 7 ATSG ) zutreffend wiedergegeben. Ebenfalls richtig ist, dass nach der Rechtsprechung eine Drogensucht, wie auch Alkoholismus und eine Medikamentenabhängigkeit, für sich allein betrachtet noch keinen invalidisierenden Gesundheitsschaden darstellt, sondern erst dann bedeutsam wird, wenn sie durch einen solchen Gesundheitsschaden bewirkt worden ist oder einen solchen zur Folge hat (vgl. BGE 124 V 265 E. 3c S. 268; AHI 2002 S. 28, I 454/99, und 2001 S. 227, I 138/98; Urteil I 50/07 vom 23. Oktober 2007 E. 5.1 und 5.2 mit weiteren Hinweisen).</w:t>
      </w:r>
    </w:p>
    <w:p>
      <w:r>
        <w:rPr>
          <w:b/>
        </w:rPr>
        <w:t>E. 3</w:t>
      </w:r>
    </w:p>
    <w:p>
      <w:r>
        <w:t>Der Versicherte leidet unstreitig seit der Kindheit an einer spezifisch isolierten Phobie im Sinne einer Miktionsphobie. Zudem liegt ein Abhängigkeitssyndrom mit multiplem Substanzgebrauch vor.</w:t>
      </w:r>
    </w:p>
    <w:p>
      <w:r>
        <w:rPr>
          <w:b/>
        </w:rPr>
        <w:t>E. 4</w:t>
      </w:r>
    </w:p>
    <w:p>
      <w:r>
        <w:t>Das kantonale Gericht hat zunächst erwogen, die Miktionsphobie begründe keine relevante Arbeits- und Erwerbsunfähigkeit und damit keine Invalidität.</w:t>
      </w:r>
    </w:p>
    <w:p>
      <w:r>
        <w:t>Die Beschwerde äussert sich hiezu widersprüchlich, indem zum einen die vorinstanzliche Betrachtungsweise bestätigt, zum anderen aber zumindest die Möglichkeit einer invalidisierenden Wirkung der Phobie geltend gemacht wird. Es wird indessen nichts vorgebracht, was die Beurteilung durch das kantonale Gericht in Frage stellen könnte. Damit erübrigt sich auch, auf die Ausführungen des Versicherten zur kausalen Bedeutung der Miktionsphobie für das Abhängigkeitssyndrom weiter einzugehen.</w:t>
      </w:r>
    </w:p>
    <w:p>
      <w:r>
        <w:t>Ein anderes, für sich allein betrachtet invalidisierendes Leiden, welches als Ursache für das Abhängigkeitssyndrom zu betrachten wäre, steht nicht zur Diskussion. Die geltend gemachten Faktoren, wie eine Veranlagung zu labiler Psyche, familiäre Umstände, der Abbruch einer Ausbildung und eine erfolgte Ausweitung/Verlagerung von weichen auf harte Drogen genügen hiefür nicht.</w:t>
      </w:r>
    </w:p>
    <w:p>
      <w:r>
        <w:rPr>
          <w:b/>
        </w:rPr>
        <w:t>E. 5</w:t>
      </w:r>
    </w:p>
    <w:p>
      <w:r>
        <w:t>Zu prüfen bleibt, ob das Abhängigkeitssyndrom oder eine daraus folgende Gesundheitsschädigung eine Invalidität bewirkt.</w:t>
      </w:r>
    </w:p>
    <w:p>
      <w:r>
        <w:rPr>
          <w:b/>
        </w:rPr>
        <w:t>E. 5.1</w:t>
      </w:r>
    </w:p>
    <w:p>
      <w:r>
        <w:t>Das kantonale Gericht hat vorab erkannt, die Abhängigkeit alleine vermöge keine Invalidität zu begründen. Diese Beurteilung entspricht der dargelegten Rechtsprechung (E. 2 hievor). In der Beschwerde wird nichts vorgebracht, was ein Abweichen von dieser Praxis zu rechtfertigen vermöchte. Namentlich genügt der Umstand, dass in einem Teil der medizinischen Akten davon ausgegangen wird, die Arbeitsfähigkeit sei infolge des Abhängigkeitssyndroms eingeschränkt, nicht.</w:t>
      </w:r>
    </w:p>
    <w:p>
      <w:r>
        <w:rPr>
          <w:b/>
        </w:rPr>
        <w:t>E. 5.2</w:t>
      </w:r>
    </w:p>
    <w:p>
      <w:r>
        <w:t>Die Vorinstanz hat sich im Weiteren mit der Äusserung des Versicherten auseinandergesetzt, wonach ein Drogenentzug eine andere (invalidisierende) psychische Erkrankung demaskieren könnte, was nicht abgeklärt worden sei. Sie hat erwogen, der Beschwerdeführer sei in schwer intoxikiertem Zustand zur psychiatrischen Begutachtung an der Klinik X.________ erschienen und habe damit und durch seine mangelnde Bereitschaft für einen Drogenentzug die geforderte "Demaskierung" einer psychischen Erkrankung selber vereitelt.</w:t>
      </w:r>
    </w:p>
    <w:p>
      <w:r>
        <w:rPr>
          <w:b/>
        </w:rPr>
        <w:t>E. 5.2.1</w:t>
      </w:r>
    </w:p>
    <w:p>
      <w:r>
        <w:t>Der Versicherte erneuert die Rüge, die Abklärungspflicht sei verletzt worden. Zwar möge sein, dass infolge eines chronisch intoxikierten Zustandes eine Aussage zur Arbeitsfähigkeit nicht möglich sei, wie dies im Gutachten der Klinik X.________ vom 20. Juli 2007 festgehalten worden sei. Doch könne nicht Drogen- oder Alkoholfreiheit verlangt werden, auch nicht im Rahmen der Schadenminderungspflicht.</w:t>
      </w:r>
    </w:p>
    <w:p>
      <w:r>
        <w:rPr>
          <w:b/>
        </w:rPr>
        <w:t>E. 5.2.2</w:t>
      </w:r>
    </w:p>
    <w:p>
      <w:r>
        <w:t>Die vorinstanzliche Beurteilung, wonach unter den gegebenen Umständen auch von weiteren psychiatrischen Abklärungen keine zuverlässigen Hinweise auf eine invalidisierende psychische Erkrankung zu erwarten sind, ist als antizipierte Beweiswürdigung im Rahmen der bundesgerichtlichen Überprüfungsbefugnis nicht zu beanstanden. Es kann darin namentlich auch keine Verletzung des Untersuchungsgrundsatzes (vgl. Art. 61 lit. c ATSG ) gesehen werden. Ergibt sich nun aber bei korrekter Anwendung dieses Grundsatzes nicht zumindest mit dem im Sozialversicherungsrecht üblichen Beweisgrad der überwiegenden Wahrscheinlichkeit ( BGE 126 V 353 E. 5b S. 360 mit Hinweisen) ein solches Leiden, trägt der Versicherte, welcher daraus Rechte ableiten wollte, die Folgen der Beweislosigkeit ( BGE 117 V 261 E. 3b S. 264). Dies gilt unabhängig davon, ob hier vom Versicherten im Rahmen der Mitwirkungspflichten bei der Sachverhaltsabklärung ( BGE 125 V 193 E. 2 S. 195 mit Hinweisen), gegebenenfalls auch der Schadenminderungspflicht ( BGE 129 V 460 E. 4.2 S. 463 mit Hinweisen), ein Drogenverzicht hätte erwartet werden dürfen.</w:t>
      </w:r>
    </w:p>
    <w:p>
      <w:r>
        <w:rPr>
          <w:b/>
        </w:rPr>
        <w:t>E. 5.3</w:t>
      </w:r>
    </w:p>
    <w:p>
      <w:r>
        <w:t>Festzuhalten bleibt, dass sich aus den medizinischen Akten keine Anhaltspunkte ergeben, welche auf eine invalidisierende organische Gesundheitsschädigung hindeuten oder auch nur einen diesbezüglichen Abklärungsbedarf zu begründen vermöchten. Auch der Hausarzt stellt im Bericht vom 1. Juni 2006 keine solchen Diagnosen. Soweit in der Beschwerde allfällige weitere Leiden postuliert werden, beruht dies lediglich auf - durch die Akten nicht gestützte - Mutmassungen über mögliche Auswirkungen des Substanzgebrauchs. Dies rechtfertigt keine andere Betrachtungsweise.</w:t>
      </w:r>
    </w:p>
    <w:p>
      <w:r>
        <w:rPr>
          <w:b/>
        </w:rPr>
        <w:t>E. 5.4</w:t>
      </w:r>
    </w:p>
    <w:p>
      <w:r>
        <w:t>Zusammenfassend begründet das Abhängkeitssyndrom keine Invalidität und liegt auch anderweitig keine invalidisierende Gesundheitsschädigung vor. Die Beschwerde ist daher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