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8C_581/2017 vom 25. April 2018</w:t>
      </w:r>
    </w:p>
    <w:p>
      <w:r>
        <w:t>Bundesgericht, 2018-04-25, DE</w:t>
      </w:r>
    </w:p>
    <w:p>
      <w:r>
        <w:rPr>
          <w:b/>
        </w:rPr>
        <w:t xml:space="preserve">Quelle: </w:t>
      </w:r>
      <w:r>
        <w:t>https://mcp.opencaselaw.ch/entscheid/bger_8C_581_2017</w:t>
      </w:r>
    </w:p>
    <w:p>
      <w:r>
        <w:t>FR: TF 8C_581/2017 du 25 avril 2018</w:t>
      </w:r>
    </w:p>
    <w:p>
      <w:r>
        <w:t>IT: TF 8C_581/2017 del 25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bestätigte die Vorinstanz zwar nicht die Rentenaufhebung der Beschwerdegegnerin per 31. Mai 2009, hielt jedoch fest, ab 1. Juni 2009 bestehe lediglich noch Anspruch auf eine Rente bei einem Invaliditätsgrad von 14 %. Der Beschwerdeführer beantragt letztinstanzlich die Weiterausrichtung einer Rente bei einem Invaliditätsgrad von 45 %. Dieser Antrag ist zulässig, liegt doch betreffend der Rente ein anfechtbarer Endentscheid vor.</w:t>
      </w:r>
    </w:p>
    <w:p>
      <w:r>
        <w:rPr>
          <w:b/>
        </w:rPr>
        <w:t>E. 2.2</w:t>
      </w:r>
    </w:p>
    <w:p>
      <w:r>
        <w:t>Zu Recht nicht angefochten hat der Beschwerdeführer den vorinstanzlichen Entscheid, soweit er im Grundsatz die Rückerstattungspflicht zu Unrecht bezogener Rentenleistungen bejaht und die Sache zur Festsetzung des Rückforderungsbetrags an die Beschwerdegegnerin zurückweist, liegt doch insoweit lediglich ein Zwischenentscheid im Sinne von Art. 93 BGG vor und sind die Voraussetzungen zum Eintreten auf eine Beschwerde gegen einen solchen Entscheid offensichtlich nicht erfüllt.</w:t>
      </w:r>
    </w:p>
    <w:p>
      <w:r>
        <w:rPr>
          <w:b/>
        </w:rPr>
        <w:t>E. 2.3</w:t>
      </w:r>
    </w:p>
    <w:p>
      <w:r>
        <w:t>Da die Allianz gegen den vorinstanzlichen Entscheid keine eigene Beschwerde erhoben hat, das BGG grundsätzlich keine Anschlussbeschwerde kennt und die Voraussetzungen, unter denen ausnahmsweise von diesem Grundsatz abgewichen werden könnte (vgl. BGE 138 V 106 E. 2 S. 110 f.), vorliegend nicht erfüllt sind, ist auf den "Eventualantrag" der Allianz, es sei die Rentenaufhebung per 31. Mai 2009 zu bestätigten, nicht einzutreten.</w:t>
      </w:r>
    </w:p>
    <w:p>
      <w:r>
        <w:rPr>
          <w:b/>
        </w:rPr>
        <w:t>E. 3</w:t>
      </w:r>
    </w:p>
    <w:p>
      <w:r>
        <w:t>Streitig und zu prüfen ist demnach, ob der Beschwerdeführer in der Zeit ab 1. Juni 2009 Anspruch auf eine höhere als die vorinstanzlich zugesprochene Invalidenrente hat.</w:t>
      </w:r>
    </w:p>
    <w:p>
      <w:r>
        <w:rPr>
          <w:b/>
        </w:rPr>
        <w:t>E. 4.1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4.2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5</w:t>
      </w:r>
    </w:p>
    <w:p>
      <w:r>
        <w:t>Die ursprüngliche Rentenzusprache erfolgte in Bestätigung eines zwischen dem Versicherten und der Unfallversicherung abgeschlossenen Vergleiches. Praxisgemäss sind auch rentenzusprechende Verfügungen, welche auf einem Vergleich beruhen, ohne Weiteres in Anwendung von Art. 17 Abs. 1 ATSG revidierbar (Urteil 8C_739/2011 vom 20. August 2012 E. 4.1 mit weiterem Hinweis, vgl. auch Urteil 8C_457/2014 vom 5. September 2014 E. 2.4). Entgegen den Ausführungen des Beschwerdeführers besteht kein hinreichender Anlass, auf diese Rechtsprechung zurückzukommen. Insbesondere kann die Praxis, wonach Verfügungen, welche einen Vergleich bestätigen, nur zurückhaltend und unter Berücksichtigung des Vergleichscharakters in Wiedererwägung ( Art. 53 Abs. 2 ATSG ) gezogen werden dürfen (vgl. BGE 138 V 147 mit weiteren Hinweisen), nicht auf die Revision nach Art. 17 Abs. 1 ATSG übertragen werden. Anders als die Wiedererwägung knüpft die Revision nicht an eine Fehlerhaftigkeit der ursprünglichen Rentenzusprache an, sondern dient der Anpassung einer ursprünglich fehlerfreien Verfügung an einen in der Zeit seit der Rentenzusprache veränderten Sachverhalt (vgl. BGE 140 V 514 E. 3.2 S. 516). Es besteht somit kein Grund, bezüglich der Revision nach Art. 17 Abs. 1 ATSG Rentenzusprachen, welche auf einem Vergleich beruhen, anders zu behandeln als andere Rentenzusprachen.</w:t>
      </w:r>
    </w:p>
    <w:p>
      <w:r>
        <w:rPr>
          <w:b/>
        </w:rPr>
        <w:t>E. 6.1</w:t>
      </w:r>
    </w:p>
    <w:p>
      <w:r>
        <w:t>Während die Beschwerdegegnerin ihre Revisionsverfügung noch damit begründete, der Gesundheitzustand des Versicherten habe sich seit der Rentenzusprache (6. Januar 1998) erheblich verbessert, hat das kantonale Gericht erwogen, eine Revision sei bereits aufgrund der geänderten erwerblichen Rahmenbedingungen zulässig. Bei der Rentenzusprache habe man sich vergleichsweise darauf geeinigt gehabt, den Versicherten, der in diesem Zeitpunkt zu 50 % bei seinem bisherigen Arbeitgeber mit angepasstem Tätigkeitsprofil tätig war, als in erwerblicher Hinsicht optimal eingegliedert zu betrachten. Entsprechend sei der Invaliditätsgrad unter Berücksichtigung dieser konkreten Tätigkeit als Invalidentätigkeit festgelegt worden. Der Beschwerdeführer habe diese Anstellung jedoch per 31. Juli 2008 verloren, so dass in erwerblicher Hinsicht eine wesentliche Sachverhaltsänderung stattgefunden habe. Was der Versicherte gegen diese vorinstanzlichen Erwägungen vorbringt, vermag nicht zu überzeugen. Zwar mag es zutreffen, dass das Arbeitsverhältnis nicht direkt Gegenstand des Vergleiches war und sein Interesse am Vergleichsabschluss in erster Linie auf eine möglichst zeitnahe Festlegung der Ansprüche gerichtet war. Wird jedoch, wie vorliegend, eine Rente unter Bezugnahme auf eine bestimmte Tätigkeit als Invalidentätigkeit zugesprochen und fällt diese Tätigkeit in der Folge dahin, so kann dies eine erhebliche Änderung der erwerblichen Folgen eines Gesundheitsschadens darstellen. Somit ist nicht zu beanstanden, dass die Vorinstanz einen Revisionsgrund bejaht hat.</w:t>
      </w:r>
    </w:p>
    <w:p>
      <w:r>
        <w:rPr>
          <w:b/>
        </w:rPr>
        <w:t>E. 6.2</w:t>
      </w:r>
    </w:p>
    <w:p>
      <w:r>
        <w:t>Liegt ein Revisionsgrund vor, ist der Rentenanspruch in rechtlicher und tatsächlicher Hinsicht umfassend ("allseitig") zu prüfen, wobei keine Bindung an frühere Beurteilungen besteht ( BGE 141 V 9 E. 2.3 S. 10 f. mit weiteren Hinweisen). Das kantonale Gericht hat in umfassender Prüfung der Sach- und Rechtslage und unter Durchführung eines Einkommensvergleiches geschlossen, dem Versicherten stehe ab 1. Juni 2009 noch eine Rente bei einem Invaliditätsgrad von 14 % zu. Diese Erwägungen sind vom Versicherten unbestritten geblieben; was die Beschwerdegegnerin gegen sie vorbringt, ist im vorliegenden Fall nicht zu hören (vgl. E. 2.3). Entsprechend ist die Beschwerde des Versicherten ohne Weiterungen abzuweisen.</w:t>
      </w:r>
    </w:p>
    <w:p>
      <w:r>
        <w:rPr>
          <w:b/>
        </w:rPr>
        <w:t>E. 7</w:t>
      </w:r>
    </w:p>
    <w:p>
      <w:r>
        <w:t>Da durch die Anschlussbeschwerde der Allianz kein erheblicher Mehraufwand für das Bundesgericht entstanden ist, rechtfertigt es sich, die Gerichtskosten vollumfänglich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