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8C_577/2024 vom 21. Oktober 2024</w:t>
      </w:r>
    </w:p>
    <w:p>
      <w:r>
        <w:t>Bundesgericht, 2024-10-21, DE</w:t>
      </w:r>
    </w:p>
    <w:p>
      <w:r>
        <w:rPr>
          <w:b/>
        </w:rPr>
        <w:t xml:space="preserve">Quelle: </w:t>
      </w:r>
      <w:r>
        <w:t>https://mcp.opencaselaw.ch/entscheid/bger_8C_577_2024</w:t>
      </w:r>
    </w:p>
    <w:p>
      <w:r>
        <w:t>FR: TF 8C_577/2024 du 21 octobre 2024</w:t>
      </w:r>
    </w:p>
    <w:p>
      <w:r>
        <w:t>IT: TF 8C_577/2024 del 21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 Beruht das angefochtene Urteil auf mehreren selbstständigen Begründungen, die je für sich den Ausgang des Rechtsstreits besiegeln, hat die beschwerdeführende Partei darzulegen, dass jede von ihnen Recht verletzt ( BGE 142 III 364 E. 2.4 mit Hinweisen).</w:t>
      </w:r>
    </w:p>
    <w:p>
      <w:r>
        <w:rPr>
          <w:b/>
        </w:rPr>
        <w:t>E. 2</w:t>
      </w:r>
    </w:p>
    <w:p>
      <w:r>
        <w:t>Die Vorinstanz trat mit Urteil vom 28. Juni 2024 auf die am 7. Februar 2024 gegen den Einspracheentscheid der Beschwerdegegnerin vom 3. Januar 2024 erhobene Beschwerde wegen Nichteinhaltens der Rechtsmittelfrist nicht ein. Dabei legte sie unter Verweis auf die bundesgerichtliche Rechtsprechung näher dar, weshalb der mit A-Post Plus versandte Einspracheentscheid als am 4. Januar 2024 zugestellt gilt, mit der Konsequenz, dass die am 7. und damit nach Ablauf der Rechtsmittelfrist am 5. Februar 2024 erhobene Beschwerde verspätet ist. Im Sinne einer Zusatzbegründung führte sie auch noch aus, weshalb selbst dann auf die Beschwerde nicht hätte eingetreten werden können, wenn diese fristgerecht eingereicht worden wäre (fehlendes taugliches Anfechtungsobjekt wegen neuer Verfügung in der Sache).</w:t>
      </w:r>
    </w:p>
    <w:p>
      <w:r>
        <w:rPr>
          <w:b/>
        </w:rPr>
        <w:t>E. 3</w:t>
      </w:r>
    </w:p>
    <w:p>
      <w:r>
        <w:t>Weder geht der Beschwerdeführer letztinstanzlich auf die vorinstanzlichen Erwägungen zum Zustellungszeitpunkt näher ein, noch setzt er sich auch nur ansatzweise mit der Eventualbegründung auseinander. Sich allein auf den Standpunkt zu stellen, die Frist habe erst nach seiner Rückkehr aus den Ferien und nicht im Moment der Zustellung zu laufen begonnen,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