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576/2009 vom 28. Oktober 2009</w:t>
      </w:r>
    </w:p>
    <w:p>
      <w:r>
        <w:t>Bundesgericht, 2009-10-28, DE</w:t>
      </w:r>
    </w:p>
    <w:p>
      <w:r>
        <w:rPr>
          <w:b/>
        </w:rPr>
        <w:t xml:space="preserve">Quelle: </w:t>
      </w:r>
      <w:r>
        <w:t>https://mcp.opencaselaw.ch/entscheid/bger_8C_576_2009</w:t>
      </w:r>
    </w:p>
    <w:p>
      <w:r>
        <w:t>FR: TF 8C 576/2009 du 28 octobre 2009</w:t>
      </w:r>
    </w:p>
    <w:p>
      <w:r>
        <w:t>IT: TF 8C 576/2009 del 28 ottobre 2009</w:t>
      </w:r>
    </w:p>
    <w:p>
      <w:pPr>
        <w:pStyle w:val="Heading2"/>
      </w:pPr>
      <w:r>
        <w:t>Regeste</w:t>
      </w:r>
    </w:p>
    <w:p>
      <w:r>
        <w:t>Invalidenversicherung | Invalidenversicherung</w:t>
      </w:r>
    </w:p>
    <w:p>
      <w:pPr>
        <w:pStyle w:val="Heading2"/>
      </w:pPr>
      <w:r>
        <w:t>Erwägungen</w:t>
      </w:r>
    </w:p>
    <w:p>
      <w:r>
        <w:rPr>
          <w:b/>
        </w:rPr>
        <w:t>E. 1</w:t>
      </w:r>
    </w:p>
    <w:p>
      <w:r>
        <w:t>Vorab ist zu prüfen, ob die Rüge der Verletzung des Anspruchs auf rechtliches Gehör durchdringt, da diesfalls der angefochtene Entscheid ungeachtet der Erfolgsaussichten der Beschwerde in der Sache selbst aufzuheben ist ( BGE 132 V 387 E. 5.1 S. 390).</w:t>
      </w:r>
    </w:p>
    <w:p>
      <w:r>
        <w:rPr>
          <w:b/>
        </w:rPr>
        <w:t>E. 2.1.1</w:t>
      </w:r>
    </w:p>
    <w:p>
      <w:r>
        <w:t>Die Beschwerdeführerin macht unter anderem geltend, bei Durchsicht der Akten, die dem kantonalen Gericht von der IV-Stelle vorgelegt worden seien, habe sie festgestellt, dass die Nummerierung der Belege nicht mit den ihr zugestellten Dokumenten übereinstimme. Weit schwerer wiege, dass anscheinend Aktenstücke in den kantonalen Gerichtsakten fehlten. Sollte sich dieser Punkt erhärten, so wäre anzunehmen, dass der Vorinstanz nicht sämtliche relevanten Unterlagen zur Verfügung standen, weshalb der angefochtene Entscheid aus diesem Grund aufzuheben wäre.</w:t>
      </w:r>
    </w:p>
    <w:p>
      <w:r>
        <w:rPr>
          <w:b/>
        </w:rPr>
        <w:t>E. 2.1.2</w:t>
      </w:r>
    </w:p>
    <w:p>
      <w:r>
        <w:t>Die IV-Stelle führt in der Vernehmlassung aus, im vorliegenden Verfahren gehe es darum, ob im massgeblichen Vergleichszeitraum (vom 4. Oktober 2000 bis 29. Februar 2008) eine den Invaliditätsgrad und damit den Rentenanspruch beeinflussende wesentliche Änderung in den tatsächlichen Verhältnissen eingetreten sei. Die nach dem ersten, mit Verfügung vom 16. April 1998 abgelehnten Rentengesuch vom 10. Februar 1997 angelegten Akten seien dem kantonalen Gericht nicht zugestellt worden, weil sich daraus keine für die Entscheidfindung wesentliche Schlussfolgerungen ziehen liessen.</w:t>
      </w:r>
    </w:p>
    <w:p>
      <w:r>
        <w:rPr>
          <w:b/>
        </w:rPr>
        <w:t>E. 2.2.1</w:t>
      </w:r>
    </w:p>
    <w:p>
      <w:r>
        <w:t>Laut KIENER/KÄLIN, Grundrechte, Bern 2007, S. 423 unten (vgl. auch H. KELLER, Garantien fairer Verfahren und des rechtlichen Gehörs, in: Handbuch der Grundrechte, Detlef Merten/Hans-Jürgen Papier [Hrsg.], 2007, S. 653 oben) setzt das Recht auf Akteneinsicht als einem wesentlichen Teilgehalt des in Art. 29 Abs. 2 BV verankerten Anspruchs auf rechtliches Gehör voraus, dass sämtliche im Rahmen des Verfahrens vorgenommenen Erhebungen aktenkundig gemacht werden. Aus dem Akteneinsichtsrecht ergibt sich deshalb umgekehrt auch ein Anspruch auf Aktenvollständigkeit (vgl. BGE 130 II 473 E. 4.1 S. 477, 129 I 85 E. 4.1 S. 88, 115 V 297 E. 2e S. 302). Gemäss BGE 115 V 297 E. 2g/bb S. 303 kommt es, wenn der Umfang des Akteneinsichtsrechts zu bestimmen ist, auf die im konkreten Fall objektive Bedeutung eines Aktenstücks für die verfügungswesentliche Sachverhaltsfeststellung an, und nicht auf die Einstufung des Beweismittels durch die Verwaltung als internes Papier. Die Vorlegungspflicht hat sich demnach nach der Relevanz der umstrittenen Papiere zu richten.</w:t>
      </w:r>
    </w:p>
    <w:p>
      <w:r>
        <w:rPr>
          <w:b/>
        </w:rPr>
        <w:t>E. 2.2.2</w:t>
      </w:r>
    </w:p>
    <w:p>
      <w:r>
        <w:t>Der Gesetzgeber hat die Vorlegungspflicht der Verwaltung für die von ihr anzulegenden Akten in Art. 47 Abs. 1 lit. c ATSG im Verhältnis zu den kantonalen Gerichten positivrechtlich verankert. Danach steht die Akteneinsicht (von einer hier nicht interessierenden Ausnahme abgesehen) allen Behörden zu, die für Beschwerden gegen auf Grund eines Sozialversicherungsgesetzes erlassene Verfügungen zuständig und insoweit zur Erfüllung dieser Aufgabe auf die dazu erforderlichen Daten angewiesen sind.</w:t>
      </w:r>
    </w:p>
    <w:p>
      <w:r>
        <w:rPr>
          <w:b/>
        </w:rPr>
        <w:t>E. 2.3</w:t>
      </w:r>
    </w:p>
    <w:p>
      <w:r>
        <w:t>Der Auffassung der IV-Stelle kann mit Blick auf diese Darlegungen nicht gefolgt werden. In der Sache ist streitig, ob die Beschwerdeführerin auch nach der Geburt der Tochter am 9. Juni 2007 vollzeitlich erwerbstätig wäre. Dabei handelt es sich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Praxisgemäss ist daher die Frage, in welchem Ausmass die versicherte Person ohne gesundheitliche Beeinträchtigung erwerbstätig wäre, mit Rücksicht auf die gesamten Umstände, so die persönlichen, familiären, sozialen und erwerblichen Verhältnisse, allfällige Erziehungs- und Betreuungsaufgaben gegenüber Kindern, das Alter sowie die beruflichen Fähigkeiten und Begabungen, zu beantworten ( BGE 130 V 393 E. 3.3 S. 396 und 125 V 146 E. 2c S. 150 mit Hinweisen). Demnach ist nicht einzusehen, weshalb die seit der ersten Anmeldung zum Leistungsbezug bei der Invalidenversicherung vom 10. Februar 1997 bis Erlass der Ablehnungsverfügung vom 16. April 1998 angelegten Akten keine aufschlussreichen Hinweise zur materiell streitigen Frage des Statuswechsels geben können. Die IV-Stelle verletzte nach dem Gesagten in schwerwiegender Weise den Anspruch auf rechtliches Gehör, indem sie dem kantonalen Gericht, ohne dieses davon in Kenntnis zu setzen, möglicherweise entscheidwesentliche Dokumente vorenthielt.</w:t>
      </w:r>
    </w:p>
    <w:p>
      <w:r>
        <w:rPr>
          <w:b/>
        </w:rPr>
        <w:t>E. 2.4.1</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w:t>
      </w:r>
    </w:p>
    <w:p>
      <w:r>
        <w:rPr>
          <w:b/>
        </w:rPr>
        <w:t>E. 2.4.2</w:t>
      </w:r>
    </w:p>
    <w:p>
      <w:r>
        <w:t>Die vorinstanzlichen Feststellungen zum Sachverhalt beruhen, ohne dass dies für das kantonale Gericht ersichtlich war, auf unvollständigen Akten. Das Bundesgericht kann zwar grundsätzlich eine Sachverhaltsfeststellung, die auf einer Rechtsverletzung beruht, berichtigen oder ergänzen ( Art. 105 Abs. 2 BGG ). Die rechtsuchende Person hat aber grundsätzlich Anspruch auf Einhaltung des Instanzenzugs (vgl. Urteil 8C_241/2007 vom 9. Juni 2008 E. 1.3.2 mit Hinweisen). Eine Heilung des Verfahrensmangels im letztinstanzlichen Prozess ist daher nicht angezeigt. Der angefochtene Entscheid ist aufzuheben und der Fall zur Neuprüfung des Sachverhalts an das kantonale Gericht zurückzuweisen.</w:t>
      </w:r>
    </w:p>
    <w:p>
      <w:r>
        <w:rPr>
          <w:b/>
        </w:rPr>
        <w:t>E. 3</w:t>
      </w:r>
    </w:p>
    <w:p>
      <w:r>
        <w:t>Die Gerichtskosten sind gemäss Art. 66 Abs. 1 Satz 1 BGG der unterliegenden IV-Stelle (vgl. BGE 132 V 215 E. 6.1 S. 235) aufzuerlegen. Sie hat der Beschwerdeführerin ausserdem eine Parteientschädigung auszurichten ( Art. 68 Abs. 2 BGG ). Damit wird deren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