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575/2013 vom 18. November 2013</w:t>
      </w:r>
    </w:p>
    <w:p>
      <w:r>
        <w:t>Bundesgericht, 2013-11-18, DE</w:t>
      </w:r>
    </w:p>
    <w:p>
      <w:r>
        <w:rPr>
          <w:b/>
        </w:rPr>
        <w:t xml:space="preserve">Quelle: </w:t>
      </w:r>
      <w:r>
        <w:t>https://mcp.opencaselaw.ch/entscheid/bger_8C_575_2013</w:t>
      </w:r>
    </w:p>
    <w:p>
      <w:r>
        <w:t>FR: TF 8C 575/2013 du 18 novembre 2013</w:t>
      </w:r>
    </w:p>
    <w:p>
      <w:r>
        <w:t>IT: TF 8C 575/2013 del 18 novembre 2013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Die aufgrund medizinischer Untersuchungen gerichtlich festgestellte Arbeits (un) fähigkeit ist Entscheidung über eine Tatfrage. Soweit die Beurteilung der Zumutbarkeit von Arbeitsleistungen auf die allgemeine Lebenserfahrung gestützt wird, geht es um eine Rechtsfrage ( BGE 132 V 393 E. 3.2 S. 397 ff.). Die Beachtung des Untersuchungsgrundsatzes sowie der Beweiswürdigungsregeln nach Art. 43 Abs. 1 und Art. 61 lit. c ATSG ist Rechtsfrage. Die konkrete Beweiswürdigung wie auch die antizipierte Beweiswürdigung (als Teil derselben) betreffen eine Tatfrage (Urteil 8C_782/2008 vom 24. Oktober 2008 E. 3.4 mit Hinweisen).</w:t>
      </w:r>
    </w:p>
    <w:p>
      <w:r>
        <w:rPr>
          <w:b/>
        </w:rPr>
        <w:t>E. 2</w:t>
      </w:r>
    </w:p>
    <w:p>
      <w:r>
        <w:t>Strittig ist, ob die Versicherte gemäss angefochtenem Entscheid Anspruch auf eine ganze oder - nach Auffassung der IV-Stelle - nur auf eine halbe bzw. eventualiter auf eine Dreiviertelsrente der Invalidenversicherung hat.</w:t>
      </w:r>
    </w:p>
    <w:p>
      <w:r>
        <w:rPr>
          <w:b/>
        </w:rPr>
        <w:t>E. 3</w:t>
      </w:r>
    </w:p>
    <w:p>
      <w:r>
        <w:t>Das kantonale Gericht hat die massgebenden gesetzlichen Bestimmungen und die hiezu von der Rechtsprechung weiter konkretisierten Grundsätze im angefochtenen Entscheid - soweit hier von Belang - zutreffend dargelegt. Darauf wird verwiesen.</w:t>
      </w:r>
    </w:p>
    <w:p>
      <w:r>
        <w:rPr>
          <w:b/>
        </w:rPr>
        <w:t>E. 4</w:t>
      </w:r>
    </w:p>
    <w:p>
      <w:r>
        <w:t>Verwaltung und Vorinstanz stellten in tatsächlicher Hinsicht übereinstimmend auf das beweiskräftige, den Anforderungen von BGE 134 V 231 E. 5.1 S. 232 genügende psychiatrische Gutachten des Dr. med. W.________ vom 5. Juni 2011 ab, wonach die Beschwerdegegnerin infolge einer "Agoraphobie (F40.0) mit Panikstörung (F40.01) ", einer "rezidivierenden depressiven Störung, gegenwärtig remittiert (F33.4) " und einer "kombinierten zwangshaften und ängstlich vermeidenden Persönlichkeitsstörung (F61.0) " seit 2001 in der Arbeitsfähigkeit eingeschränkt und in ihrer angestammten Tätigkeit nur noch zu 60% arbeitsfähig ist. Es sei ihr jegliche Computertätigkeit zumutbar, sofern sie die Tätigkeit von zu Hause aus ausüben könne. Auch in einer anderen Tätigkeit bestehe ebenfalls eine 60%-ige Arbeitsfähigkeit, sofern die Versicherte von jemandem zur Arbeit begleitet werden könne.</w:t>
      </w:r>
    </w:p>
    <w:p>
      <w:r>
        <w:rPr>
          <w:b/>
        </w:rPr>
        <w:t>E. 5.1</w:t>
      </w:r>
    </w:p>
    <w:p>
      <w:r>
        <w:t>Das kantonale Gericht schloss die erwerbliche Verwertbarkeit der Restarbeitsfähigkeit unter den ärztlich beschriebenen Bedingungen aus, weil diese "ein nicht realistisches Entgegenkommen des potentiellen Arbeitgebers" voraussetzen würden. Das Finden einer entsprechenden Stelle auf dem allgemeinen Arbeitsmarkt erscheine folglich zum Vornherein als ausgeschlossen. Demgegenüber rügt die Beschwerde führende IV-Stelle, die Vorinstanz habe Bundesrecht ( Art. 61 lit. c ATSG ) verletzt, indem sie gestützt auf eine einzige, im Internet zugängliche Meinungsäusserung eines Kadermitgliedes der IBM Schweiz AG zur Heimarbeit in der Computerbranche in Bezug auf die konkret zu beurteilende Situation der Beschwerdegegnerin auf die fehlende Verwertbarkeit der verbleibenden 60%-igen Arbeitsfähigkeit geschlossen habe.</w:t>
      </w:r>
    </w:p>
    <w:p>
      <w:r>
        <w:rPr>
          <w:b/>
        </w:rPr>
        <w:t>E. 5.2</w:t>
      </w:r>
    </w:p>
    <w:p>
      <w:r>
        <w:t>In Bezug auf die strittige Rechtsfrage nach der Verwertbarkeit der Restarbeitsfähigkeit (SVR 2013 IV Nr. 14 S. 35, 9C_149/2011 E. 1.2 i.f. mit Hinweis) ist demnach zu prüfen, ob der in Betracht zu ziehende ausgeglichene Arbeitsmarkt ( BGE 110 V 273 E. 4b S. 276; vgl. auch BGE 130 V 343 E. 3.2 S. 346 f.) der versicherten Person trotz ihrer gesundheitlichen Einschränkungen noch zumutbare Einsatzmöglichkeiten bietet (Urteil 8C_728/2012 vom 8. Mai 2013 E. 4.3.2).</w:t>
      </w:r>
    </w:p>
    <w:p>
      <w:r>
        <w:rPr>
          <w:b/>
        </w:rPr>
        <w:t>E. 5.2.1</w:t>
      </w:r>
    </w:p>
    <w:p>
      <w:r>
        <w:t>Von einer versicherten Person können rechtsprechungsgemäss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8C_728/2012 vom 8. Mai 2013 E. 4.3.3 mit Hinweisen).</w:t>
      </w:r>
    </w:p>
    <w:p>
      <w:r>
        <w:rPr>
          <w:b/>
        </w:rPr>
        <w:t>E. 5.2.2</w:t>
      </w:r>
    </w:p>
    <w:p>
      <w:r>
        <w:t>Zu Recht verweist die Beschwerdeführerin darauf, dass die heute 39-jährige, als Application Engineer und Nischenspezialistin im Bereich Web-Design und -Produktion ausgebildete und bestens qualifizierte Versicherte nach eigenen Angaben bereits seit 2003 ausschliesslich von zu Hause aus gearbeitet hatte. Die von der Vorinstanz vertretene Auffassung, wonach die erwerbliche Verwertung der Restarbeitsfähigkeit ausgeschlossen sei, weil sich auf dem allgemeinen Arbeitsmarkt keine entsprechenden Stellen fänden, ist schon deshalb offensichtlich unzutreffend, weil die Beschwerdegegnerin gemäss IK-Auszug seit 2001 - trotz der seither unverändert anhaltenden gesundheitlichen Beeinträchtigungen - die ihr verbleibende Restarbeitsfähigkeit bei vier verschiedenen Arbeitgebern mit jeweils beachtlichem Erfolg erwerblich verwertet hat. Und dies, obgleich sie nach eigenen Angaben ab 2003 ihre berufliche Tätigkeit nur noch zu Hause ausüben konnte.</w:t>
      </w:r>
    </w:p>
    <w:p>
      <w:r>
        <w:rPr>
          <w:b/>
        </w:rPr>
        <w:t>E. 5.3</w:t>
      </w:r>
    </w:p>
    <w:p>
      <w:r>
        <w:t>Die Beschwerde der IV-Stelle ist nach dem Gesagten insoweit als offensichtlich begründet gutzuheissen als entgegen dem angefochtenen Entscheid davon auszugehen ist, dass die Versicherte auch ab November 2009 - Zeitpunkt des Eintrittes der Arbeitsunfähigkeit gemäss Anmeldung zum Bezug von Leistungen der Invalidenversicherung - weiterhin zumindest im gutachterlich attestierten Ausmass (vgl. E. 4 hievor) sowohl in der bis dahin ausgeübten angestammten Tätigkeit wie auch in einer anderen, von zu Hause aus zu verrichtenden Computertätigkeit zumutbarerweise die ihr verbleibende Restarbeitsfähigkeit erwerblich zu verwerten vermochte.</w:t>
      </w:r>
    </w:p>
    <w:p>
      <w:r>
        <w:rPr>
          <w:b/>
        </w:rPr>
        <w:t>E. 5.4</w:t>
      </w:r>
    </w:p>
    <w:p>
      <w:r>
        <w:t>Mit Blick auf den Streitgegenstand (E. 2 hievor) und den angefochtenen Entscheid fehlt es an den erforderlichen Voraussetzungen, um vor Bundesgericht im Rahmen der eingeschränkten Kognition (vgl. E. 1.1 hievor) abschliessend über den strittigen Rentenanspruch befinden zu können. Weil vor kantonalem Gericht auch die Feststellung der für die Ermittlung des Invaliditätsgrades und damit den Rentenanspruch massgebenden hypothetischen Vergleichseinkommen strittig war, sich die Vorinstanz jedoch aufgrund der von dieser vertretenen Auffassung nicht veranlasst sah, entsprechende Sachverhaltsfeststellungen zu tätigen, ist die Sache zur diesbezüglichen Feststellung der rechtserheblichen Tatsachen nach Art. 61 lit. c ATSG an das kantonale Gericht zurückzuweisen. Hernach wird es über die Beschwerde - ausgehend von der erwerblichen Verwertbarkeit der Restarbeitsfähigkeit gemäss Erwägung Ziffer 4 hievor - neu entscheiden.</w:t>
      </w:r>
    </w:p>
    <w:p>
      <w:r>
        <w:rPr>
          <w:b/>
        </w:rPr>
        <w:t>E. 6</w:t>
      </w:r>
    </w:p>
    <w:p>
      <w:r>
        <w:t>Mit dem Urteil in der Sache wird das Gesuch der Beschwerdeführerin um Erteilung der aufschiebenden Wirkung der Beschwerde gegenstandslos.</w:t>
      </w:r>
    </w:p>
    <w:p>
      <w:r>
        <w:rPr>
          <w:b/>
        </w:rPr>
        <w:t>E. 7.1</w:t>
      </w:r>
    </w:p>
    <w:p>
      <w:r>
        <w:t>Die Beschwerde ist offensichtlich begründet und im vereinfachten Verfahren mit summarischer Begründung ( Art. 109 Abs. 2 lit. b und Abs. 3 BGG ) zu erledigen.</w:t>
      </w:r>
    </w:p>
    <w:p>
      <w:r>
        <w:rPr>
          <w:b/>
        </w:rPr>
        <w:t>E. 7.2</w:t>
      </w:r>
    </w:p>
    <w:p>
      <w:r>
        <w:t>Die Gerichtskosten werden der Beschwerdegegnerin als unterliegender Partei auferlegt ( Art. 66 Abs. 1 BGG ). Ihrem Gesuch um unentgeltliche Prozessführung und Verbeiständung ist infolge der deklarierten Vermögenswerte wegen fehlender Bedürftigkeit ( Art. 64 Abs. 1 BGG ) sowie wegen fehlender Begründung abzuweisen (Urteil 2C_238/2012 vom 30. Juli 2012 E. 5.2; Urteil 5A_57/2010 vom 2. Juli 2010; Thomas Geiser, in: Basler Kommentar, Bundesgerichtsgesetz, 2. Aufl. 2011, N. 23 zu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