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8C_575/2007 vom 3. Juni 2008</w:t>
      </w:r>
    </w:p>
    <w:p>
      <w:r>
        <w:t>Bundesgericht, 2008-06-03, DE</w:t>
      </w:r>
    </w:p>
    <w:p>
      <w:r>
        <w:rPr>
          <w:b/>
        </w:rPr>
        <w:t xml:space="preserve">Quelle: </w:t>
      </w:r>
      <w:r>
        <w:t>https://mcp.opencaselaw.ch/entscheid/bger_8C_575_2007</w:t>
      </w:r>
    </w:p>
    <w:p>
      <w:r>
        <w:t>FR: TF 8C_575/2007 du 3 juin 2008</w:t>
      </w:r>
    </w:p>
    <w:p>
      <w:r>
        <w:t>IT: TF 8C_575/2007 del 3 giugno 2008</w:t>
      </w:r>
    </w:p>
    <w:p>
      <w:pPr>
        <w:pStyle w:val="Heading2"/>
      </w:pPr>
      <w:r>
        <w:t>Erwägungen</w:t>
      </w:r>
    </w:p>
    <w:p>
      <w:r>
        <w:rPr>
          <w:b/>
        </w:rPr>
        <w:t>E. 1.1</w:t>
      </w:r>
    </w:p>
    <w:p>
      <w:r>
        <w:t>Gegen den vorinstanzlichen Entscheid ist die Beschwerde in öffentlich-rechtlichen Angelegenheiten ( Art. 82 ff. BGG ) zulässig. Mit dieser kann unter anderem die Verletzung von Bundesrecht (einschliesslich Verfassungsrecht) und von Völkerrecht gerügt werden ( Art. 95 lit. a und b BGG ). Für eine subsidiäre Verfassungsbeschwerde nach Art. 113 ff. BGG bleibt in dieser Konstellation kein Raum. Die Rechtsschrift vom 20. September 2007 ist vollumfänglich als Beschwerde in öffentlich-rechtlichen Angelegenheiten zu behandeln.</w:t>
      </w:r>
    </w:p>
    <w:p>
      <w:r>
        <w:rPr>
          <w:b/>
        </w:rPr>
        <w:t>E. 1.2</w:t>
      </w:r>
    </w:p>
    <w:p>
      <w:r>
        <w:t>Die Feststellung des Sachverhalts kann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Tatsächlicher Natur und damit im dargestellten Rahmen grundsätzlich verbindlich sind insbesondere auch die Feststellungen zur Arbeits(un)fähigkeit, welche das kantonale Gericht gestützt auf medizinische Untersuchungen trifft ( BGE 132 V 393 E. 3.2 S. 398).</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noch die früheren Gesetzesfassungen anwendbar (vgl. BGE 132 V 215 E. 3.1.1 S. 220 mit Hinweisen).</w:t>
      </w:r>
    </w:p>
    <w:p>
      <w:r>
        <w:rPr>
          <w:b/>
        </w:rPr>
        <w:t>E. 2.2</w:t>
      </w:r>
    </w:p>
    <w:p>
      <w:r>
        <w:t>Das kantonale Gericht hat die Bestimmungen und Grundsätze über den Begriff der Invalidität ( Art. 8 IVG ; BGE 130 V 343 E. 3.3.1 und 3.3.2 S. 347) sowie die Voraussetzungen und den Umfang des Rentenanspruchs ( Art. 28 Abs. 1 IVG in der bis Ende 2003 und in der seit 1. Januar 2004 gültigen Fassung) zutreffend dargelegt. Darauf wird verwiesen. Richtig sind auch die vorinstanzlichen Erwägungen zur Ermittlung des Invaliditätsgrades bei erwerbstätigen Versicherten nach der Einkommensvergleichsmethode ( Art. 16 ATSG ; BGE 130 V 343 E. 3.4.2 S. 349; 128 V 29 E. 1 S. 30; 104 V 135 E. 2a und b S. 136), insbesondere zur Bestimmung des Valideneinkommens ( BGE 129 V 222 E. 4.3.1 S. 224) und des Invalideneinkommens, einschliesslich des Abstellens auf die so genannten Tabellenlöhne ( BGE 129 V 472 E. 4.2.1 S. 475; 126 V 75 E. 3a/bb S. 76).</w:t>
      </w:r>
    </w:p>
    <w:p>
      <w:r>
        <w:rPr>
          <w:b/>
        </w:rPr>
        <w:t>E. 3</w:t>
      </w:r>
    </w:p>
    <w:p>
      <w:r>
        <w:t>Der Beschwerdeführer rügt zunächst eine Verletzung seines Anspruchs auf rechtliches Gehör. Diese erblickt er darin, dass sich alle Instanzen geweigert hätten, seinem Antrag auf Durchführung einer Evaluation der funktionellen Leistungsfähigkeit (EFL) zu entsprechen. Die Vorinstanz durfte jedoch von derartigen Untersuchungen absehen, nachdem sie zum Ergebnis gelangt war, die vorhandenen Unterlagen böten eine hinreichend zuverlässige Grundlage für die Beurteilung der Arbeitsfähigkeit und des Invaliditätsgrades. In einer solchen antizipierten Beweiswürdigung liegt kein Verstoss gegen den Anspruch auf rechtliches Gehör ( BGE 124 V 90 E. 4b S. 94, 122 V 157 E. 1d S. 162; SVR 2001 IV Nr. 10 S. 27 E. 4b, I 362/99).</w:t>
      </w:r>
    </w:p>
    <w:p>
      <w:r>
        <w:rPr>
          <w:b/>
        </w:rPr>
        <w:t>E. 4</w:t>
      </w:r>
    </w:p>
    <w:p>
      <w:r>
        <w:t>Streitig und zu prüfen ist der Rentenanspruch. Der Beschwerdeführer lässt gegen die Ermittlung des Invaliditätsgrades von 32.5% verschiedene Einwände erheben.</w:t>
      </w:r>
    </w:p>
    <w:p>
      <w:r>
        <w:rPr>
          <w:b/>
        </w:rPr>
        <w:t>E. 4.1</w:t>
      </w:r>
    </w:p>
    <w:p>
      <w:r>
        <w:t>Nachdem Verwaltung und Vorinstanz zum Ergebnis gelangten, der Invaliditätsgrad liege bereits aufgrund der aktuellen Verhältnisse, ohne Durchführung von Eingliederungsmassnahmen, unter 40%, konnten sie zulässigerweise über die Rente entscheiden (vgl. Urteil I 151/05 vom 9. August 2005, E. 1.1). Die in der Beschwerdeschrift geltend gemachte Verletzung des Grundsatzes "Eingliederung vor Rente" liegt nicht vor.</w:t>
      </w:r>
    </w:p>
    <w:p>
      <w:r>
        <w:rPr>
          <w:b/>
        </w:rPr>
        <w:t>E. 4.2</w:t>
      </w:r>
    </w:p>
    <w:p>
      <w:r>
        <w:t>Die Vorinstanz bezifferte das Valideneinkommen bezogen auf das Jahr 2000 mit Fr. 54'600.- und bezogen auf das Jahr 2004 mit Fr. 58'101.-. Sie stützte sich dabei auf die Angaben der Arbeitgeberin vom 27. September 2000 und berücksichtigte die anschliessende Nominallohnentwicklung. Dieses Vorgehen ist korrekt. Der kantonale Entscheid wird denn auch in der Beschwerdeschrift diesbezüglich nicht beanstandet.</w:t>
      </w:r>
    </w:p>
    <w:p>
      <w:r>
        <w:rPr>
          <w:b/>
        </w:rPr>
        <w:t>E. 4.3</w:t>
      </w:r>
    </w:p>
    <w:p>
      <w:r>
        <w:t>Für die Ermittlung des Invalideneinkommens gingen IV-Stelle und Vorinstanz davon aus, dem Beschwerdeführer sei aus medizinischer Sicht bei optimalen Arbeitsbedingungen sowie ausgebauter Schmerztherapie eine mechanisch leichte, wechselbelastende Tätigkeit im Rahmen einer Arbeitsfähigkeit von 90% zumutbar. Diese Feststellung wird durch das MEDAS-Gutachten vom 23. Dezember 2004 jedenfalls insofern gestützt, als sie nicht als offensichtlich unrichtig bezeichnet werden kann. Sie ist deshalb für das Bundesgericht verbindlich (E. 1.2 hiervor am Ende). Ausgehend von dieser Umschreibung der verbleibenden Arbeitsfähigkeit, welche ein relativ weites Spektrum von Einsatzmöglichkeiten eröffnet, ging das kantonale Gericht rechtsprechungsgemäss vor, wenn es das Invalideneinkommen gestützt auf die Werte der Schweizerischen Lohnstrukturerhebung (LSE) festsetzte (vgl. BGE 129 V 472 E. 4.2.1 S. 475; 126 V 75 E. 3a/bb S. 76). Eine Evaluation der funktionellen Leistungsfähigkeit ist in derartigen Konstellationen nicht Voraussetzung für die rechtskonforme Bemessung des Invaliditätsgrades. Nicht beanstanden lässt sich auch das Heranziehen des Zentralwerts (Total) der im privaten Sektor mit einfachen und repetitiven Tätigkeiten (Anforderungsniveau 4) beschäftigten Männer. Die praxisgemäss ( BGE 126 V 75 E. 7a S. 81) erforderlichen Anpassungen (wöchentliche Arbeitszeit, Nominal-lohnentwicklung) wurden ebenfalls vorgenommen. Den prozentualen Abzug, mit welchem einer zu erwartenden leidensbedingten Verdienst-einbusse sowie allfälligen weiteren lohnmindernden Faktoren Rechnung getragen werden soll, setzten Verwaltung und Vorinstanz auf 25% fest, was dem durch die Rechtsprechung definierten Maximum entspricht ( BGE 129 V 472 E. 4.2.3 S. 481 mit Hinweisen). Eine Korrektur dieses Abzugs zu Gunsten des Beschwerdeführers ist daher ebenfalls ausgeschlossen.</w:t>
      </w:r>
    </w:p>
    <w:p>
      <w:r>
        <w:rPr>
          <w:b/>
        </w:rPr>
        <w:t>E. 4.4</w:t>
      </w:r>
    </w:p>
    <w:p>
      <w:r>
        <w:t>Zusammenfassend lassen sich die Invaliditätsbemessung und die Verneinung eines Rentenanspruchs durch IV-Stelle und Vorinstanz bundesrechtlich nicht beanstanden.</w:t>
      </w:r>
    </w:p>
    <w:p>
      <w:r>
        <w:rPr>
          <w:b/>
        </w:rPr>
        <w:t>E. 5</w:t>
      </w:r>
    </w:p>
    <w:p>
      <w:r>
        <w:t>In der Beschwerde wird ferner verlangt, es sei die dem unentgeltlichen Rechtsbeistand für das kantonale Verfahren zugesprochene Entschädigung zu erhöhen. Dieser Antrag wird namens des Beschwerdeführers gestellt. Sein Rechtsvertreter hat weder eine separate Beschwerde eingereicht noch in der für den Klienten verfassten Rechtsschrift ausdrücklich erklärt, er führe hinsichtlich der Entschädigung in eigenem Namen Beschwerde. Nach der Rechtsprechung ist der Versicherte dann in eigenem Namen beschwerdelegitimiert, wenn die Frage streitig ist, ob für ein bestimmtes Verfahren bzw. einen bestimmten Verfahrensabschnitt überhaupt Anspruch auf unentgeltliche Verbeiständung besteht. Geht es jedoch nur um die Höhe der Entschädigung, ist einzig der Rechtsvertreter selbst zur Anfechtung befugt, während dem Versicherten eine entsprechende Legitimation fehlt (RKUV 1999 KV Nr. 96 S. 519 E. 9b, K 99/98; ARV 1997 Nr. 27 S. 151, C 232/93). Da der Anwalt des Beschwerdeführers vorliegend keine eigene Beschwerde erhoben hat, ist auf den entsprechenden Antrag nicht einzutreten.</w:t>
      </w:r>
    </w:p>
    <w:p>
      <w:r>
        <w:rPr>
          <w:b/>
        </w:rPr>
        <w:t>E. 6</w:t>
      </w:r>
    </w:p>
    <w:p>
      <w:r>
        <w:t>Das Verfahren ist kostenpflichtig (Art. 65 Abs. 1 und Abs. 4 lit. a BGG).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