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8C_571/2008 vom 1. Juli 2009</w:t>
      </w:r>
    </w:p>
    <w:p>
      <w:r>
        <w:t>Bundesgericht, 2009-07-01, DE</w:t>
      </w:r>
    </w:p>
    <w:p>
      <w:r>
        <w:rPr>
          <w:b/>
        </w:rPr>
        <w:t xml:space="preserve">Quelle: </w:t>
      </w:r>
      <w:r>
        <w:t>https://mcp.opencaselaw.ch/entscheid/bger_8C_571_2008</w:t>
      </w:r>
    </w:p>
    <w:p>
      <w:r>
        <w:t>FR: TF 8C_571/2008 du 1 juillet 2009</w:t>
      </w:r>
    </w:p>
    <w:p>
      <w:r>
        <w:t>IT: TF 8C_571/2008 del 1 luglio 2009</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Mit Verfügung vom 25. Juli 2006 und Einspracheentscheid vom 19. September 2006 stellte die Beschwerdeführerin ihre Leistungen rückwirkend per Unfalltag ein und forderte die bereits erbrachten Leistungen zurück, da das Ereignis vom 16. November 2002 keine Beeinträchtigung der körperlichen oder geistigen Gesundheit des Versicherten zur Folge gehabt habe. Damit verneinte die Versicherung sinngemäss das Vorliegen eines Unfalles im Sinne von Art. 4 ATSG . Das kantonale Gericht hob den Einspracheentscheid auf, da die Observationsergebnisse der von der Beschwerdeführerin beauftragten Privatdetektive als Beweismittel unzulässig und daher nicht zu beachten seien. Aufgrund der übrigen Akten stellte es für die Versicherung verbindlich fest, dass der Versicherte beim Ereignis vom 16. November 2002 eine HWS-Distorsion erlitten hat, womit dieses Ereignis als Unfall zu qualifizieren sei. Die Sache wurde zur Prüfung der Frage, inwieweit die anhaltend geklagten Beschwerden noch in einem natürlichen und adäquaten Kausalzusammenhang stehen, an die Beschwerdeführerin zurückgewiesen. Das Vorliegen eines Unfallereignisses ist eine Anspruchsvoraussetzung unter anderen in Zusammenhang mit Leistungen der Unfallversicherung.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der Anspruch des Beschwerdegegners auf Versicherungsleistungen aufgrund des Ereignisses vom 16. November 2002.</w:t>
      </w:r>
    </w:p>
    <w:p>
      <w:r>
        <w:rPr>
          <w:b/>
        </w:rPr>
        <w:t>E. 4</w:t>
      </w:r>
    </w:p>
    <w:p>
      <w:r>
        <w:t>Die Beschwerdeführerin liess den Beschwerdegegner ab dem 30. März 2004 an verschiedenen Tagen durch Privatdetektive überwachen. Das kantonale Gericht hat erwogen, die Beschwerdeführerin als Versicherungsträger der obligatorischen Unfallversicherung dürfe mangels gesetzlicher Grundlage keine Überwachung einer versicherten Person durch einen Privatdetektiv in Auftrag geben. Daher seien die Ergebnisse der unzulässigen Observation als Beweismittel nicht verwertbar. Wie das Bundesgericht jedoch unlängst entschieden hat, besteht eine ausreichende gesetzliche Grundlage für eine durch einen Sozialversicherungsträger in Auftrag gegebene privatdetektivliche Observation im öffentlichen Raum (BGE 8C_807/2008 vom 15. Juni 2009 E. 4 f.). Somit sind die Ergebnisse der ab 30. März 2004 durchgeführten Observation des Beschwerdegegners grundsätzlich verwertbar.</w:t>
      </w:r>
    </w:p>
    <w:p>
      <w:r>
        <w:rPr>
          <w:b/>
        </w:rPr>
        <w:t>E. 5.1</w:t>
      </w:r>
    </w:p>
    <w:p>
      <w:r>
        <w:t>Die Beschwerdeführerin hat ihre Leistungen rückwirkend eingestellt und die Rückerstattung der erbrachten Leistungen verfügt. Eine rückwirkende Einstellung von Taggeld und Heilbehandlungsleistungen ist grundsätzlich zulässig, wenn auch einer Rückforderung von Leistungen, welche über ein rückwirkend festgelegtes Einstellungsdatum hinaus geleistet wurden, unter Umständen der Gesichtspunkt des Vertrauensschutzes entgegen steht ( BGE 133 V 57 E. 6.8 S. 65).</w:t>
      </w:r>
    </w:p>
    <w:p>
      <w:r>
        <w:rPr>
          <w:b/>
        </w:rPr>
        <w:t>E. 5.2</w:t>
      </w:r>
    </w:p>
    <w:p>
      <w:r>
        <w:t>Die Beschwerdeführerin hat ihre Leistungen rückwirkend auf den Unfalltag eingestellt. Damit macht sie sinngemäss geltend, der Versicherte habe am 16. November 2002 keinen Unfall erlitten oder er sei durch dieses Ereignis nicht verletzt worden. Dem Polizeirapport der Kantonspolizei Aargau vom 26. November 2002 ist jedoch zu entnehmen, dass der Versicherte am 16. November 2002 in eine Auffahrkollision verwickelt wurde und er sich bereits am Unfallort über Nackenschmerzen beklagte. Auffahrunfälle können insbesondere bei den Insassen des voranfahrenden Fahrzeugs zu schweren Verletzungen führen. Eine typische Verletzung bei Auffahrunfällen stellt ein Schleudertrauma der Halswirbelsäule dar. Dieses kann gravierende gesundheitliche Folgen haben ( BGE 135 II 138 E. 2.3 S. 143 mit weiteren Hinweisen). Einzig weil der Versicherte und seine Ehefrau ab 2004 durch Privatdetektive überwacht wurden und diese Überwachung ergab, dass er gegenüber der Versicherung falsche Angaben machte, kann nicht ausgeschlossen werden, dass der Beschwerdegegner am 16. November 2002 tatsächlich einen Gesundheitsschaden erlitten hat.</w:t>
      </w:r>
    </w:p>
    <w:p>
      <w:r>
        <w:rPr>
          <w:b/>
        </w:rPr>
        <w:t>E. 5.3</w:t>
      </w:r>
    </w:p>
    <w:p>
      <w:r>
        <w:t>Die Beschwerde ist somit teilweise gutzuheissen, der Einsprache- und der kantonale Gerichtsentscheid sind aufzuheben und die Akten sind an die Beschwerdeführerin zurückzuweisen, damit diese - allenfalls nach weiteren Abklärungen - entscheide, wie lange der Versicherte nach dem Unfall vom 16. November 2002 an natürlich und adäquat kausal durch dieses Ereignis verursachten Beschwerden litt. Sie wird in diesen Entscheid die Ergebnisse der Observation grundsätzlich einbeziehen können, wobei sie zu prüfen haben wird, ob - wie vom Beschwerdegegner geltend gemacht - allenfalls gewisse Teile der Observationsberichte nicht verwertbar sind. Anschliessend wird sie über die Höhe des Rückerstattungsbetrages neu zu verfügen haben. In Betracht fällt bei den gegebenen Verhältnissen auch eine vergleichsweise Festlegung des Rückerstattungsbetrages ( Art. 50 ATSG ).</w:t>
      </w:r>
    </w:p>
    <w:p>
      <w:r>
        <w:rPr>
          <w:b/>
        </w:rPr>
        <w:t>E. 6</w:t>
      </w:r>
    </w:p>
    <w:p>
      <w:r>
        <w:t>Entsprechend dem Verfahrensausgang sind die Gerichtskosten den Parteien je zur Hälfte aufzuerlegen ( Art. 66 Abs. 1 BGG ). Die Beschwerdeführerin hat dem Beschwerdegegner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