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8C_56/2024 vom 5. März 2024</w:t>
      </w:r>
    </w:p>
    <w:p>
      <w:r>
        <w:t>Bundesgericht, 2024-03-05, DE</w:t>
      </w:r>
    </w:p>
    <w:p>
      <w:r>
        <w:rPr>
          <w:b/>
        </w:rPr>
        <w:t xml:space="preserve">Quelle: </w:t>
      </w:r>
      <w:r>
        <w:t>https://mcp.opencaselaw.ch/entscheid/bger_8C_56_2024</w:t>
      </w:r>
    </w:p>
    <w:p>
      <w:r>
        <w:t>FR: TF 8C_56/2024 du 5 mars 2024</w:t>
      </w:r>
    </w:p>
    <w:p>
      <w:r>
        <w:t>IT: TF 8C_56/2024 del 5 marzo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Die Vorinstanz trat im angefochtenen Urteil vom 23. Januar 2024 auf die gegen den Einspracheentscheid des Beschwerdegegners vom 27. November 2023 gerichtete Beschwerde vom 10. Januar 2024 wegen ausgebliebener Beschwerdeverbesserung nicht ein.</w:t>
      </w:r>
    </w:p>
    <w:p>
      <w:r>
        <w:rPr>
          <w:b/>
        </w:rPr>
        <w:t>E. 3</w:t>
      </w:r>
    </w:p>
    <w:p>
      <w:r>
        <w:t>Darauf geht der Beschwerdeführer - trotz eines entsprechenden Hinweises des Bundesgerichts am 1. Februar 2024 auf die spezifischen Eintretensvoraussetzungen bei der Anfechtung eines vorinstanzlichen Nichteintretens - in keiner seiner beiden Eingaben hinreichend ein. Allein den Geschehensablauf zu schildern und darüber hinaus den Einspracheentscheid des Beschwerdegegners in Frage zu stellen,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