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8C_56/2023 vom 11. Juli 2023</w:t>
      </w:r>
    </w:p>
    <w:p>
      <w:r>
        <w:t>Bundesgericht, 2023-07-11, DE</w:t>
      </w:r>
    </w:p>
    <w:p>
      <w:r>
        <w:rPr>
          <w:b/>
        </w:rPr>
        <w:t xml:space="preserve">Quelle: </w:t>
      </w:r>
      <w:r>
        <w:t>https://mcp.opencaselaw.ch/entscheid/bger_8C_56_2023</w:t>
      </w:r>
    </w:p>
    <w:p>
      <w:r>
        <w:t>FR: TF 8C_56/2023 du 11 juillet 2023</w:t>
      </w:r>
    </w:p>
    <w:p>
      <w:r>
        <w:t>IT: TF 8C_56/2023 del 11 luglio 2023</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die von der Suva verfügte und mit Einspracheentscheid vom 31. Mai 2022 geschützte Verneinung einer anspruchsbegründenden unfallbedingten Erwerbseinbusse von mindestens 10% verneinte. Vor Bundesgericht beanstandet der Beschwerdeführer einzig den leidensbedingten Tabellenlohnabzug von 5%, welchen die Suva bei der Ermittlung des trotz der verbleibenden Unfallrestfolgen zumutbaren Erwerbseinkommens (Invalideneinkommen) berücksichtigte.</w:t>
      </w:r>
    </w:p>
    <w:p>
      <w:r>
        <w:rPr>
          <w:b/>
        </w:rPr>
        <w:t>E. 2.2</w:t>
      </w:r>
    </w:p>
    <w:p>
      <w:r>
        <w:t>Demgegenüber steht fest und ist unbestritten, dass das Invalideneinkommen hier praxisgemäss (vgl. BGE 148 V 174 und SVR 2022 UV Nr. 32 S. 130, 8C_541/2021 E. 5.2.1) zu Recht anhand der statistischen Löhne der vom Bundesamt für Statistik (BFS) alle zwei Jahre durchgeführten Schweizerischen Lohnstrukturerhebung (LSE) bestimmt und im Übrigen korrekt ermittelt wurde. Keine Einwände erhebt der Beschwerdeführer sodann gegen die vorinstanzliche Feststellung, wonach er trotz Unfallrestfolgen in einer optimal leidensadaptierten Tätigkeit voll arbeitsfähig ist.</w:t>
      </w:r>
    </w:p>
    <w:p>
      <w:r>
        <w:rPr>
          <w:b/>
        </w:rPr>
        <w:t>E. 3</w:t>
      </w:r>
    </w:p>
    <w:p>
      <w:r>
        <w:t>Das kantonale Gericht hat die für die Beurteilung des strittigen Anspruchs auf Unfallversicherungsleistungen nach Gesetz und Rechtsprechung massgebenden Grundlagen richtig dargestellt. Darauf wird verwiesen ( Art. 109 Abs. 3 BGG ).</w:t>
      </w:r>
    </w:p>
    <w:p>
      <w:r>
        <w:rPr>
          <w:b/>
        </w:rPr>
        <w:t>E. 4.1</w:t>
      </w:r>
    </w:p>
    <w:p>
      <w:r>
        <w:t>In BGE 148 V 174 wiederholte das Bundesgericht jüngst in konstanter Rechtsprechung, dass der leidensbedingte Tabellenlohnabzug nicht automatisch erfolgt, sondern unter Würdigung der Umstände im Einzelfall nach pflichtgemässem Ermessen gesamthaft zu schätzen ist und 25 % nicht übersteigen darf ( BGE 148 V 174 E. 6.3 mit Hinweisen).</w:t>
      </w:r>
    </w:p>
    <w:p>
      <w:r>
        <w:rPr>
          <w:b/>
        </w:rPr>
        <w:t>E. 4.2</w:t>
      </w:r>
    </w:p>
    <w:p>
      <w:r>
        <w:t>Die Vorinstanz hat nach bundesrechtskonformer Beweiswürdigung mit hinreichender Begründung, worauf verwiesen wird ( Art. 109 Abs. 3 BGG ), zutreffend dargelegt, weshalb die Festsetzung des leidensbedingten Tabellenlohnabzuges von 5 % unter den gegebenen Umständen angesichts der tatsächlich zu berücksichtigenden gesundheitlichen Einschränkungen nach der Rechtsprechung (E. 4.1) nicht als bundesrechtswidrig zu beanstanden ist.</w:t>
      </w:r>
    </w:p>
    <w:p>
      <w:r>
        <w:rPr>
          <w:b/>
        </w:rPr>
        <w:t>E. 4.3</w:t>
      </w:r>
    </w:p>
    <w:p>
      <w:r>
        <w:t>Die hiergegen erhobenen Einwände des Beschwerdeführers sind offensichtlich unbegründet. Dass aus der am 27. Juli 2020 verfügten, unangefochten in Rechtskraft erwachsenen Zusprache einer Integritätsentschädigung von 15% auf einen mindestens halb so hoch zu bemessenden leidensbedingten Tabellenlohnabzug zu schliessen wäre, ist sachfremd und entbehrt einer nachvollziehbaren Begründung. Vielmehr besteht der Integritätsschaden unabhängig von der Erwerbsfähigkeit (vgl. Art. 36 Abs. 1 UVV ). Dass offensichtlich kein (direktes) Abhängigkeitsverhältnis zwischen dem Umfang des Integritätsschadens einerseits und der Bemessung eines allfälligen leidensbedingten Tabellenlohnabzuges im Sinne von BGE 126 V 75 andererseits besteht, zeigt bereits die Tatsache, dass zahlreiche Fälle nur mit der Ausrichtung einer Integritätsentschädigung, jedoch ohne Anspruch auf eine Invalidenrente abgeschlossen werden (beispielhaft statt vieler: Urteil 8C_809/2021 vom 24. Mai 2022). Nichts anderes folgt aus der Rechtsprechung, wonach beim Fallabschluss die Verfügung über den Integritätsanspruch unabhängig von der Beurteilung des Rentenanspruchs der Teilrechtskraft zugänglich ist (vgl. dazu BGE 144 V 354 E. 4.3 und SVR 2023 UV Nr. 17 S. 54, 8C_281/2022 E. 4.1 mit Hinweisen). Schliesslich vermag der Beschwerdeführer auch aus dem Verweis auf die Invaliditätsbemessung der Invalidenversicherung nichts zu seinen Gunsten abzuleiten, da diese den Unfallversicherer nicht bindet ( BGE 131 V 362 E. 2.3 mit Hinweisen; vgl. auch Urteil 8C_137/2022 vom 22. Februar 2023 E. 3.3 mit Hinweisen).</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