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8C_56/2014 vom 17. Juni 2014</w:t>
      </w:r>
    </w:p>
    <w:p>
      <w:r>
        <w:t>Bundesgericht, 2014-06-17, DE</w:t>
      </w:r>
    </w:p>
    <w:p>
      <w:r>
        <w:rPr>
          <w:b/>
        </w:rPr>
        <w:t xml:space="preserve">Quelle: </w:t>
      </w:r>
      <w:r>
        <w:t>https://mcp.opencaselaw.ch/entscheid/bger_8C_56_2014</w:t>
      </w:r>
    </w:p>
    <w:p>
      <w:r>
        <w:t>FR: TF 8C_56/2014 du 17 juin 2014</w:t>
      </w:r>
    </w:p>
    <w:p>
      <w:r>
        <w:t>IT: TF 8C_56/2014 del 17 giugno 2014</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angefochtenen kantonalen Entscheid vom 11. Dezember 2013 handelt es sich um einen Zwischenentscheid: Er schliesst das Verfahren nicht ab, sondern weist die Sache zur Abklärung und Festsetzung des Rentenbeginnes und der Rentenhöhe an die IV-Stelle zurück. Da im Entscheid jedoch für die Beschwerdeführerin verbindlich festgehalten wurde, dass die Beschwerdegegnerin spätestens ab dem Zeitpunkt der Verfügung vom 4. Juli 2011 Anspruch auf eine Viertelsrente der Invalidenversicherung hat, wäre die IV-Stelle - könnte sie diesen Entscheid nicht vor Bundesgericht anfechten -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 Auf die Beschwerde der IV-Stelle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3.3</w:t>
      </w:r>
    </w:p>
    <w:p>
      <w:r>
        <w:t>Streitig und zu prüfen ist, ob die Vorinstanz Bundesrecht verletzte, als sie der Beschwerdegegnerin eine Viertelsrente der Invalidenversicherung zusprach.</w:t>
      </w:r>
    </w:p>
    <w:p>
      <w:r>
        <w:rPr>
          <w:b/>
        </w:rPr>
        <w:t>E. 4.1</w:t>
      </w:r>
    </w:p>
    <w:p>
      <w:r>
        <w:t>Das kantonale Gericht hat in umfassender Würdigung der medizinischen Akten, insbesondere gestützt auf den Bericht des      Dr. med. D.________, Facharzt für Psychiatrie und Psychotherapie am Regionalen Ärztlichen Dienst (RAD), vom 10. September 2009 für das Bundesgericht grundsätzlich verbindlich festgestellt, dass die Versicherte spätestens seit 2009 auch in einer ihrem Leiden angepassten Tätigkeit lediglich zu 60 % arbeitsfähig ist. Hinsichtlich der Feststellung des medizinischen Sachverhaltes bestätigte die Vorinstanz damit die erstinstanzliche Verfügung. Was die beschwerdeführende IV-Stelle nunmehr gegen diese Feststellung vorbringt, vermag sie nicht als bundesrechtswidrig erscheinen lassen: Da der RAD-Arzt die von ihm postulierte Einschränkung in der Arbeitsfähigkeit nicht mit dem von ihm ebenfalls diagnostizierten "chronischen Ganzkörperschmerzsyndrom" begründet, braucht nicht weiter geprüft zu werden, ob auf dieses Leiden die sog. "Überwindbarkeitspraxis" ( BGE 130 V 352 ; vgl. auch BGE 139 V 547 ) anwendbar und die entsprechenden Kriterien erfüllt wären. Im Weiteren besteht bereits aufgrund der psychiatrischen Diagnosen eine Einschränkung in der Arbeitsfähigkeit von 40 %; somit ist es nicht entscheidrelevant, ob alleine aufgrund der somatischen Befunde in einer angepassten Tätigkeit eine 60 %-ige oder eine 90 %-ige Arbeitsfähigkeit besteht. Aufgrund der Ausführungen des RAD-Arztes ist zudem davon auszugehen, dass von weiteren medizinischen Massnahmen lediglich noch eine Stabilisierung der Arbeitsfähigkeit, nicht aber eine Besserung erwartet werden kann. Zudem würde entgegen den Vorbringen der Beschwerdeführerin auch ein Besserungspotenzial einen allfälligen Anspruch auf eine (allenfalls befristete) Rente nicht im Vorneherein ausschliessen.</w:t>
      </w:r>
    </w:p>
    <w:p>
      <w:r>
        <w:rPr>
          <w:b/>
        </w:rPr>
        <w:t>E. 4.2</w:t>
      </w:r>
    </w:p>
    <w:p>
      <w:r>
        <w:t>Ausgehend von einer 60 %-igen Arbeitsfähigkeit in einer leidensangepassten Tätigkeit bemass die Vorinstanz den Invaliditätsgrad mittels eines Prozentvergleiches (vgl. etwa Urteil 8C_891/2010 vom 23. Februar 2011 E. 3) auf 46 %; diese Vorgehensweise wird von der Beschwerdeführerin zu Recht nicht als bundesrechtswidrig gerügt. Die Beschwerde der IV-Stelle ist somit abzuweisen.</w:t>
      </w:r>
    </w:p>
    <w:p>
      <w:r>
        <w:rPr>
          <w:b/>
        </w:rPr>
        <w:t>E. 5.1</w:t>
      </w:r>
    </w:p>
    <w:p>
      <w:r>
        <w:t>Dem Prozessausgang entsprechend sind die Gerichtskosten der unterliegenden IV-Stelle aufzuerlegen ( Art. 66 Abs. 1 BGG ). Diese hat der Beschwerdegegnerin überdies eine Parteientschädigung zu bezahlen ( Art. 68 Abs. 1 und 2 BGG ). Damit wird das Gesuch der Beschwerdegegnerin um unentgeltliche Rechtspflege gegenstandslos.</w:t>
      </w:r>
    </w:p>
    <w:p>
      <w:r>
        <w:rPr>
          <w:b/>
        </w:rPr>
        <w:t>E. 5.2</w:t>
      </w:r>
    </w:p>
    <w:p>
      <w:r>
        <w:t>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