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8C_56/2013 vom 16. Juli 2013</w:t>
      </w:r>
    </w:p>
    <w:p>
      <w:r>
        <w:t>Bundesgericht, 2013-07-16, DE</w:t>
      </w:r>
    </w:p>
    <w:p>
      <w:r>
        <w:rPr>
          <w:b/>
        </w:rPr>
        <w:t xml:space="preserve">Quelle: </w:t>
      </w:r>
      <w:r>
        <w:t>https://mcp.opencaselaw.ch/entscheid/bger_8C_56_2013</w:t>
      </w:r>
    </w:p>
    <w:p>
      <w:r>
        <w:t>FR: TF 8C_56/2013 du 16 juillet 2013</w:t>
      </w:r>
    </w:p>
    <w:p>
      <w:r>
        <w:t>IT: TF 8C_56/2013 del 16 luglio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prüft grundsätzlich aber nur die geltend gemachten Rügen. Es ist nicht gehalten, wie eine erstinstanzliche Behörde alle sich stellenden rechtlichen Fragen zu untersuchen, wenn diese vor Bundesgericht nicht mehr vorgetragen wurden ( BGE 133 II 249 E. 1.4.1 S. 254). Es kann die Verletzung von Grundrechten und von kantonalem und interkantonalem Recht nur insofern prüfen, als eine solche Rüge in der Beschwerde vorgebracht und begründet worden ist ( Art. 106 Abs. 2 BGG ).</w:t>
      </w:r>
    </w:p>
    <w:p>
      <w:r>
        <w:t>Der auf 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der Beweiswürdigungsregeln ( Art. 43 Abs. 1, Art. 61 lit. c ATSG ) und der Anforderungen an den Beweiswert von Arztberichten ( BGE 134 V 231 f. E. 5.1 mit Hinweis).</w:t>
      </w:r>
    </w:p>
    <w:p>
      <w:r>
        <w:rPr>
          <w:b/>
        </w:rPr>
        <w:t>E. 2</w:t>
      </w:r>
    </w:p>
    <w:p>
      <w:r>
        <w:t>Den im Rahmen des Verwaltungsverfahrens durch die IV-Stelle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125 V 351 Erw. 3b/bb S. 353; RKUV 1993 Nr. U 167 S. 96 Erw. 5a mit weiteren Hinweisen [Urteil U 9/92 vom 2. April 1993]). Auch Berichte von behandelnden Spezialärzten sind Äusserungen von Sachverständigen, welche zur Feststellung eines medizinischen Sachverhaltes beweismässig etwas beitragen können. Daraus folgt indessen nicht, dass ein solcher Bericht oder ein solches Gutachten den gleichen Rang wie ein vom Gericht oder von einem Invalidenversicherer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vom Versicherer förmlich bestellten Gutachters derart zu erschüttern vermag, dass davon abzuweichen ist (vgl. BGE 125 V 261 E. 3c S. 354).</w:t>
      </w:r>
    </w:p>
    <w:p>
      <w:r>
        <w:rPr>
          <w:b/>
        </w:rPr>
        <w:t>E. 3</w:t>
      </w:r>
    </w:p>
    <w:p>
      <w:r>
        <w:t>Die Vorinstanz stellte für die Festlegung der bei der Invaliditätsbemessung Ausgangspunkt bildenden Arbeitsfähigkeit nicht auf das von der Verwaltung eingeholte polydisziplinäre Gutachten der Medizinischen Abklärungsstation Y.________ vom 16. März 2010 ab, wonach seit der im Jahr 2008erfolgreich begonnenen, ab Juni 2009 zu Beschwerdefreiheit führenden Botulinus-Behandlung des Schiefhalses kein die Arbeitsfähigkeit beeinflussender Befund mehr auszumachen sei. Dies im Wesentlichen mit der Begründung, das Therapieprogramm sei zum Zeitpunkt der Untersuchung der Medizinischen Abklärungsstation Y.________ im März 2010 noch nicht abgeschlossen gewesen, was von den Experten zwar erkannt worden sei, nicht jedoch - und das sei von entscheidender Bedeutung -, dass diese Weiterführung der Botox-Injektionen aktenkundig der Bekämpfung der für einen Schiefhals typischerweise schwankenden und damit nicht allein anhand der anlässlich der Untersuchung der Medizinischen Abklärungsstation Y.________ im März aktuell festgestellten Symptomatik diente.</w:t>
      </w:r>
    </w:p>
    <w:p>
      <w:r>
        <w:t>Damit folgte das Gericht den Ausführungen des das Therapieprogramm durchführenden Arztes PD Dr. med. M.________ vom 25. August 2010 und 28. August 2012, der sich das Abweichen der Ärzte der Medizinischen Abklärungsstation Y.________ von seiner Einschätzung der Arbeitsfähigkeit (50 % seit Januar 2009) damit erklärte, dass a) diese die Beschwerdegegnerin in einem klinisch günstigen Zeitpunkt gesehen hätten und b) anscheinend keine Erfahrung über den Verlauf fokaler Dystonien und über die Behandlungseffekte mit Botulinumtoxin hätten. Seine Einschätzung begründete er mit einer im Verlauf der Therapie ab Anfang 2009 zwar verbesserten, aber nach wie vor belastungsabhängig jeweils verstärkt aufgetretenen Symptomatologie. Das Gericht verzichtete darauf, den Ärzten der Medizinischen Abklärungsstation Y.________ die Äusserungen von PD Dr. med. M.________ zur Stellungnahme zu unterbreiten.</w:t>
      </w:r>
    </w:p>
    <w:p>
      <w:r>
        <w:rPr>
          <w:b/>
        </w:rPr>
        <w:t>E. 3.1</w:t>
      </w:r>
    </w:p>
    <w:p>
      <w:r>
        <w:t>Die Beschwerdeführerin wendet ein, den Berichten des behandelnden Arztes könne nicht die volle Beweiskraft beigemessen werden, da es sich dabei lediglich um Stellungnahmen und nicht um eine Expertise, welche den von der Rechtsprechung entwickelten inhaltlichen Anforderungen gerecht wird, handle. Dem ist beizupflichten. Denn wie von der Verwaltung treffend ausgeführt, gab PD Dr. med. M.________ seine Einschätzung nicht in Kenntnis sämtlicher Vorakten ab bzw. setzte sich mit diesen inhaltlich nicht erkennbar auseinander, so insbesondere mit den verschiedenen Berichten des Zentrums B.________ aus der Zeit von Juni bis August 2009, worin - wie auch im Bericht der Medizinischen Abklärungsstation Y.________ - etwa invaliditätsfremde psychosoziale Faktoren als Mitursache der Beschwerden vermutet und das Vorhandensein einer neuropathologischen Schmerzzunahme als unwahrscheinlich bezeichnet wurden.</w:t>
      </w:r>
    </w:p>
    <w:p>
      <w:r>
        <w:rPr>
          <w:b/>
        </w:rPr>
        <w:t>E. 3.2</w:t>
      </w:r>
    </w:p>
    <w:p>
      <w:r>
        <w:t>Eine andere Frage ist, ob diese Berichte - der Auffassung der Vorinstanz folgend - allenfalls geeignet waren, die Beweiskraft des von der Verwaltung bei der Medizinischen Abklärungsstation Y.________ eingeholten Gutachtens externer Spezialärzte in Frage zu stellen. Soweit das kantonale Gericht diesen Schluss gezogen hat, kann dies nicht als offensichtlich unrichtig, d.h. willkürlich betrachtet werden, wenngleich allein die unterschiedliche Beurteilung der Auswirkungen des Leidens auf die Arbeitsfähigkeit zwischen den Gutachtern der Medizinischen Abklärungsstation Y.________ und anderen involvierten Ärzten, die zu einer anderen Beurteilung gelangten, für sich allein noch nicht gegen die Zuverlässigkeit des Gutachtens spricht. Denn wie weit die zumindest teilweise auf der Grundlage eigener Wahrnehmungen getroffenen Aussagen des die Botulinum-Behandlung durchführenden Arztes zur schwankenden Symptomatik des Schiefhalses und der damit verbundenen Einschätzung der Arbeitsfähigkeit auf 50 % für die Zeit nach Anfang 2009 den Gutachtern der Medizinischen Abklärungsstation Y.________ bekannt waren, ist unklar, erfassten sie doch in ihrer medizinischen Anamnese nichts Derartiges. Als jüngster Bericht des behandelnden Arztes ist jener vom 10. September 2008 aufgeführt. Nicht zutreffend ist indessen die Feststellung der Vorinstanz, die Experten der Medizinischen Abklärungsstation Y.________ hätten im Widerspruch zu den übrigen medizinischen Akten einen Torticollis verneint. Die Gutachter diagnostizierten einen entsprechenden Status, erachteten ihn indessen seit Eintritt der Beschwerdefreiheit im Juni 2009 als nicht (mehr) invalidisierend.</w:t>
      </w:r>
    </w:p>
    <w:p>
      <w:r>
        <w:rPr>
          <w:b/>
        </w:rPr>
        <w:t>E. 3.3</w:t>
      </w:r>
    </w:p>
    <w:p>
      <w:r>
        <w:t>Die Vorinstanz hätte demnach weitere Abklärungen vornehmen müssen, sei es, indem sie - naheliegenderweise - den Experten der Medizinischen Abklärungsstation Y.________ die Stellungnahme des behandelnden Arztes mit möglichen zusätzlichen Fragen unterbreitet hätte, sei es, dass sie - allenfalls auch im Anschluss an die Antworten - ein Obergutachten eingeholt hätte. Daran ändert nichts, dass es die IV-Stelle war, welche nach eingereichten Stellungnahmen des behandelnden Arztes zum Gutachten der Medizinischen Abklärungsstation Y.________ diese lediglich noch dem RAD-Arzt vorgelegt hatte, welcher alsdann seiner Antwort eine falsche Sachverhaltsannahme (keine fortdauernde Behandlung mit Botulinumtoxin) zu Grunde gelegt hatte. Die Untersuchungsmaxime gebietet dies.</w:t>
      </w:r>
    </w:p>
    <w:p>
      <w:r>
        <w:t>Indem das kantonale Gericht sich über die Beurteilung des Gesundheitszustandes und die Einschätzung der Arbeitsfähigkeit der Medizinischen Abklärungsstation Y.________ ohne weitere Abklärungen hinweggesetzt hat, verletzte es den Untersuchungsgrundsatz und die Beweiswürdigungsregeln. In teilweiser Gutheissung der Beschwerde ist die Sache daher an das kantonale Gericht zur Klärung der noch offenen Fragen zum Gesundheitszustand und zur Arbeitsfähigkeit zurückzuweisen (vgl. BGE 137 V 210 E. 4.4.1.4 S. 264). Danach hat sie über die Beschwerde erneut zu entscheiden.</w:t>
      </w:r>
    </w:p>
    <w:p>
      <w:r>
        <w:rPr>
          <w:b/>
        </w:rPr>
        <w:t>E. 4</w:t>
      </w:r>
    </w:p>
    <w:p>
      <w:r>
        <w:t>Die Rückweisung der Sache an das kantonale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Entsprechend dem Ausgang des Verfahrens sind die Gerichtskosten daher der unterliegenden Beschwerdegegnerin aufzuerlegen. Trotz Obsiegens steht der IV-Stelle nach Massgabe von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