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56/2011 vom 4. Mai 2011</w:t>
      </w:r>
    </w:p>
    <w:p>
      <w:r>
        <w:t>Bundesgericht, 2011-05-04, DE</w:t>
      </w:r>
    </w:p>
    <w:p>
      <w:r>
        <w:rPr>
          <w:b/>
        </w:rPr>
        <w:t xml:space="preserve">Quelle: </w:t>
      </w:r>
      <w:r>
        <w:t>https://mcp.opencaselaw.ch/entscheid/bger_8C_56_2011</w:t>
      </w:r>
    </w:p>
    <w:p>
      <w:r>
        <w:t>FR: TF 8C 56/2011 du 4 mai 2011</w:t>
      </w:r>
    </w:p>
    <w:p>
      <w:r>
        <w:t>IT: TF 8C 56/2011 del 4 maggio 2011</w:t>
      </w:r>
    </w:p>
    <w:p>
      <w:pPr>
        <w:pStyle w:val="Heading2"/>
      </w:pPr>
      <w:r>
        <w:t>Regeste</w:t>
      </w:r>
    </w:p>
    <w:p>
      <w:r>
        <w:t>Unfallversicherung | Unfallversicherung</w:t>
      </w:r>
    </w:p>
    <w:p>
      <w:pPr>
        <w:pStyle w:val="Heading2"/>
      </w:pPr>
      <w:r>
        <w:t>Erwägungen</w:t>
      </w:r>
    </w:p>
    <w:p>
      <w:r>
        <w:rPr>
          <w:b/>
        </w:rPr>
        <w:t>E. 1</w:t>
      </w:r>
    </w:p>
    <w:p>
      <w:r>
        <w:t>Die Beschwerde an das Bundesgericht ist zulässig gegen Endentscheide, das heisst gegen Entscheide, die das Verfahren abschliessen ( Art. 90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2</w:t>
      </w:r>
    </w:p>
    <w:p>
      <w:r>
        <w:t>Rechtsprechungsgemäss stellt die Anordnung einer Begutachtung keine anfechtbare Zwischenverfügung dar. Selbstständig anfechtbar sind allein Zwischenverfügungen über formelle Ausstandsgründe. Zwischenverfügungen über andere Fragen der Begutachtung sind hingegen bereits vor dem kantonalen Gericht nur dann anfechtbar, wenn sie einen nicht wieder gutzumachenden Nachteil bewirken können ( BGE 136 V 156 E. 3.2 S. 157; 132 V 93 E. 6.1 S. 106 und E. 6.3 S. 107). In der Regel keinen solchen Nachteil bewirken Zwischenverfügungen über Einwände, welche Fragen der Beweiswürdigung betreffen und daher beim Endentscheid in der Sache noch berücksichtigt werden können. Dazu gehören beispielsweise die Fragen, aus welcher medizinischen Fachrichtung ein Gutachten einzuholen ist, ob ein behandelnder Arzt als Gutachter eingesetzt werden kann, ob die vorgesehene Gutachtensperson die notwendigen Fachkenntnisse besitzt oder ob der Sachverhalt bereits hinreichend abgeklärt ist ( BGE 136 V 156 E. 3.2 S. 157 f.; 132 V 93 E. 6.5 S. 108 f.).</w:t>
      </w:r>
    </w:p>
    <w:p>
      <w:r>
        <w:rPr>
          <w:b/>
        </w:rPr>
        <w:t>E. 3.1</w:t>
      </w:r>
    </w:p>
    <w:p>
      <w:r>
        <w:t>Die Beschwerdeführerin geht davon aus, dass das Urteil des Bundesgerichts vom 30. April 2009 (8C_674/2008) einer neuen Feststellung des Sachverhaltes und damit einer neuen medizinischen Begutachtung im Sinne einer res iudicata entgegensteht. Sie übersieht dabei, dass das Bundesgericht, nachdem die Generali den Fall mangels adäquatem Kausalzusammenhang auf den 30. April 2004 folgenlos hatte abschliessen wollen, den natürlichen und adäquaten Kausalzusammenhang zwischen dem Unfall und den geklagten Beschwerden rechtskräftig festgestellt und die Sache zu neuem Entscheid an die Beschwerdegegnerin zurückgewiesen hat. Gestützt darauf hat diese die übrigen Anspruchsvoraussetzungen, insbesondere die Arbeitsunfähigkeit sowie gegebenenfalls die Erwerbsunfähigkeit, zu prüfen. In diesem Rahmen steht es ihr im Sinne ihrer Abklärungspflicht gemäss Art. 43 ATSG frei, die Beschwerdeführerin erneut medizinisch begutachten zu lassen. Nicht mehr zur Diskussion steht die im Verfahren 8C_674/2008 beurteilte adäquate Kausalität.</w:t>
      </w:r>
    </w:p>
    <w:p>
      <w:r>
        <w:rPr>
          <w:b/>
        </w:rPr>
        <w:t>E. 3.2</w:t>
      </w:r>
    </w:p>
    <w:p>
      <w:r>
        <w:t>Soweit die Beschwerdeführerin hauptsächlich beantragt, die Generali sei anzuweisen, ihre Ansprüche ohne weitere medizinische Begutachtung zu beurteilen, kann auf das Begehren nicht eingetreten werden, da es weder die Zuständigkeit noch die Befangenheit betrifft, und somit die Eintretensvoraussetzungen des Art. 92 BGG nicht erfüllt sind. Ebensowenig bedeutet die erneute Begutachtung für die Beschwerdeführerin einen nicht wieder gutzumachenden Nachteil oder könnte durch die Gutheissung dieses Antrages ein Endentscheid herbeigeführt werden ( Art. 93 BGG ).</w:t>
      </w:r>
    </w:p>
    <w:p>
      <w:r>
        <w:rPr>
          <w:b/>
        </w:rPr>
        <w:t>E. 4.1</w:t>
      </w:r>
    </w:p>
    <w:p>
      <w:r>
        <w:t>Der vorinstanzliche Entscheid ist insofern anfechtbar, als er ein Ausstandsbegehren beschlägt. Zu prüfen bleibt somit die Rüge der Befangenheit der mit der Begutachtung betrauten Institution, welche einen der gesetzlichen Ausstands- und Ablehnungsgründe darstellt.</w:t>
      </w:r>
    </w:p>
    <w:p>
      <w:r>
        <w:rPr>
          <w:b/>
        </w:rPr>
        <w:t>E. 4.2</w:t>
      </w:r>
    </w:p>
    <w:p>
      <w:r>
        <w:t>Das kantonale Gericht hat die Rechtsgrundlagen hiefür zutreffend dargelegt. Hervorzuheben ist, dass für Sachverständige grundsätzlich die gleichen Ausstands- und Ablehnungsgründe gelten,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 BGE 132 V 93 E. 7.1 S. 109 f. mit Hinweis; SVR 2010 IV Nr. 36 S. 112, 9C_893/2009 E. 1.1 und 1.2 Ingress; 2010 IV Nr. 2 S. 3, 9C_500/2009 E. 1; vgl. auch BGE 136 I 207 E. 3.1 S. 210; Urteil 1B_22/2007 vom 29. Mai 2007 E. 3.3 und 3.4).</w:t>
      </w:r>
    </w:p>
    <w:p>
      <w:r>
        <w:rPr>
          <w:b/>
        </w:rPr>
        <w:t>E. 4.3</w:t>
      </w:r>
    </w:p>
    <w:p>
      <w:r>
        <w:t>Unter Bezugnahme auf das von Prof. Dr. iur. M.________ und Dr. iur. R.________ verfasste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vom 11. Februar 2010 bringt die Beschwerdeführerin vor, der Inhaber der Begutachtungsstelle X.________, Dr. phil. T.________, sei ausschliesslich für Versicherungen tätig und dadurch abhängig und befangen. Dasselbe gelte auch für die bei der Institution angestellten Gutachter, denn diese seien aus arbeitsvertraglichen Gründen weisungsabhängig. Nach der Rechtsprechung vermag auch eine ausgedehnte Begutachtungstätigkeit für die Invalidenversicherung selbst dann keine Befangenheit zu begründen, wenn die betreffende Person ihr Einkommen vollständig durch deren Gutachteraufträge erzielen sollte (vgl. auch SVR 2008 IV Nr. 22 S. 69). Damit begründet auch die ausschliessliche Tätigkeit für Versicherungen allein noch keine Befangenheit. Im Weiteren ist es vorliegend irrelevant, wie es sich mit der Haltung des Dr. T.________ zur sogenannten "Schleudertraumarechtsprechung" des Bundesgerichts verhält, da über den Kausalzusammenhang gemäss dieser Rechtsprechung bereits mit Entscheid vom 30. April 2009 rechtskräftig entschieden wurde (E. 3.2). Auch der von der Beschwerdeführerin vorgelegte email-Verkehr vom Oktober 2003 begründet keine Befangenheit, da daraus keine direkten Äusserungen einer der bei der Begutachtungsstelle X.________ begutachtenden Personen enthalten sind (siehe auch Urteil 8C_253/2010 vom 15. September 2010 E. 5.3). Schliesslich ist auch die Berufung auf Art. 6 EMRK unbehelflich, bezieht sich diese doch auf Gerichtsverfahren ( BGE 135 V 465 E. 4.3 S. 468), wohingegen vorliegend die Anordnung einer Begutachtung im Verwaltungsverfahren strittig ist. Die Beschwerde ist demnach abzuweisen, soweit darauf eingetreten werden kann.</w:t>
      </w:r>
    </w:p>
    <w:p>
      <w:r>
        <w:rPr>
          <w:b/>
        </w:rPr>
        <w:t>E. 5</w:t>
      </w:r>
    </w:p>
    <w:p>
      <w:r>
        <w:t>Dem Ausgang des Verfahrens entsprechend hat die Beschwerdeführerin die Gerichtskosten zu tragen ( Art. 66 Abs. 1 BGG ).</w:t>
      </w:r>
    </w:p>
    <w:p>
      <w:r>
        <w:rPr>
          <w:b/>
        </w:rPr>
        <w:t>E. 6</w:t>
      </w:r>
    </w:p>
    <w:p>
      <w:r>
        <w:t>Mit dem Urteil in der Sache wird das Gesuch um Gewährung der aufschiebenden Wirkung gegenstandslos (Urteil 9C_262/2010 vom 12. Juli 2010 E. 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