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8C_569/2012 vom 20. Juli 2012</w:t>
      </w:r>
    </w:p>
    <w:p>
      <w:r>
        <w:t>Bundesgericht, 2012-07-20, DE</w:t>
      </w:r>
    </w:p>
    <w:p>
      <w:r>
        <w:rPr>
          <w:b/>
        </w:rPr>
        <w:t xml:space="preserve">Quelle: </w:t>
      </w:r>
      <w:r>
        <w:t>https://mcp.opencaselaw.ch/entscheid/bger_8C_569_2012</w:t>
      </w:r>
    </w:p>
    <w:p>
      <w:r>
        <w:t>FR: TF 8C_569/2012 du 20 juillet 2012</w:t>
      </w:r>
    </w:p>
    <w:p>
      <w:r>
        <w:t>IT: TF 8C_569/2012 del 20 luglio 2012</w:t>
      </w:r>
    </w:p>
    <w:p>
      <w:pPr>
        <w:pStyle w:val="Heading2"/>
      </w:pPr>
      <w:r>
        <w:t>Volltext</w:t>
      </w:r>
    </w:p>
    <w:p>
      <w:r>
        <w:t>Bundesgericht</w:t>
      </w:r>
    </w:p>
    <w:p>
      <w:r>
        <w:t>Tribunal fédéral</w:t>
      </w:r>
    </w:p>
    <w:p>
      <w:r>
        <w:t>Tribunale federale</w:t>
      </w:r>
    </w:p>
    <w:p>
      <w:r>
        <w:t>Tribunal federal</w:t>
      </w:r>
    </w:p>
    <w:p>
      <w:r>
        <w:t>{T 0/2}</w:t>
      </w:r>
    </w:p>
    <w:p>
      <w:r>
        <w:t>8C_569/2012</w:t>
      </w:r>
    </w:p>
    <w:p>
      <w:r>
        <w:t>Urteil vom 20. Juli 2012</w:t>
      </w:r>
    </w:p>
    <w:p>
      <w:r>
        <w:t>I. sozialrechtliche Abteilung</w:t>
      </w:r>
    </w:p>
    <w:p>
      <w:r>
        <w:t>Besetzung</w:t>
      </w:r>
    </w:p>
    <w:p>
      <w:r>
        <w:t>Bundesrichter Ursprung, Präsident,</w:t>
      </w:r>
    </w:p>
    <w:p>
      <w:r>
        <w:t>Gerichtsschreiber Batz.</w:t>
      </w:r>
    </w:p>
    <w:p>
      <w:r>
        <w:t>Verfahrensbeteiligte</w:t>
      </w:r>
    </w:p>
    <w:p>
      <w:r>
        <w:t>B.________,</w:t>
      </w:r>
    </w:p>
    <w:p>
      <w:r>
        <w:t>Beschwerdeführerin,</w:t>
      </w:r>
    </w:p>
    <w:p>
      <w:r>
        <w:t>gegen</w:t>
      </w:r>
    </w:p>
    <w:p>
      <w:r>
        <w:t>IV-Stelle des Kantons Thurgau, St. Gallerstrasse 13, 8500 Frauenfeld,</w:t>
      </w:r>
    </w:p>
    <w:p>
      <w:r>
        <w:t>Beschwerdegegnerin.</w:t>
      </w:r>
    </w:p>
    <w:p>
      <w:r>
        <w:t>Gegenstand</w:t>
      </w:r>
    </w:p>
    <w:p>
      <w:r>
        <w:t>Invalidenversicherung (Prozessvoraussetzung),</w:t>
      </w:r>
    </w:p>
    <w:p>
      <w:r>
        <w:t>Beschwerde gegen den Entscheid des Verwaltungsgerichts des Kantons Thurgau vom 23. Mai 2012.</w:t>
      </w:r>
    </w:p>
    <w:p>
      <w:r>
        <w:t>Nach Einsicht</w:t>
      </w:r>
    </w:p>
    <w:p>
      <w:r>
        <w:t>in die Beschwerde der B.________ vom 13. Juli 2012 (Poststempel) gegen den Entscheid des Verwaltungsgerichts des Kantons Thurgau vom 23. Mai 2012,</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136 I 65 E. 1.3.1 S. 68 und 134 II 244 E. 2.1 S. 245 f.); Art. 95 ff. BGG nennen dabei die vor Bundesgericht zulässigen Beschwerdegründe,</w:t>
      </w:r>
    </w:p>
    <w:p>
      <w:r>
        <w:t>dass die Beschwerde vom 13. Juli 2012 den vorgenannten Erforder-nissen offensichtlich nicht gerecht wird, da sie kein rechtsgenügliches Begehren und auch keine ausreichende Begründung enthält, indem sich die Versicherte mit den für das Ergebnis des angefochtenen Entscheids massgeblichen Erwägungen der Vorinstanz nicht in einer den gesetzlichen Anforderungen an die Begründungspflicht genügenden Weise auseinandersetzt und namentlich weder rügt noch aufzeigt, in-wiefern das kantonale Gericht mit seinen Erwägungen eine Rechts-verletzung gemäss Art. 95 f. BGG bzw. - soweit überhaupt beanstandet - eine entscheidwesentliche, offensichtlich unrichtige oder unvollständige Sachverhaltsfeststellung im Sinne von Art. 97 Abs. 1 BGG begangen haben sollte,</w:t>
      </w:r>
    </w:p>
    <w:p>
      <w:r>
        <w:t>dass deshalb auf die - offensichtlich unzulässige und auch ungebührliche Züge aufweisende -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20. Juli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