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8C_569/2009 vom 19. März 2010</w:t>
      </w:r>
    </w:p>
    <w:p>
      <w:r>
        <w:t>Bundesgericht, 2010-03-19, DE</w:t>
      </w:r>
    </w:p>
    <w:p>
      <w:r>
        <w:rPr>
          <w:b/>
        </w:rPr>
        <w:t xml:space="preserve">Quelle: </w:t>
      </w:r>
      <w:r>
        <w:t>https://mcp.opencaselaw.ch/entscheid/bger_8C_569_2009</w:t>
      </w:r>
    </w:p>
    <w:p>
      <w:r>
        <w:t>FR: TF 8C_569/2009 du 19 mars 2010</w:t>
      </w:r>
    </w:p>
    <w:p>
      <w:r>
        <w:t>IT: TF 8C_569/2009 del 19 marzo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Streitgegenstand bildet einzig die vorinstanzliche Bestimmung des Invaliditätsgrades ( Art. 16 ATSG ).</w:t>
      </w:r>
    </w:p>
    <w:p>
      <w:r>
        <w:rPr>
          <w:b/>
        </w:rPr>
        <w:t>E. 2.1.1</w:t>
      </w:r>
    </w:p>
    <w:p>
      <w:r>
        <w:t>Nach den Erwägungen im angefochtenen Entscheid ist mit der SUVA davon auszugehen, dass der Versicherte ohne unfallbedingte Gesundheitsbeeinträchtigung weiterhin als Gipser bei der X.________ tätig wäre. Mangels zweckdienlicher Auskünfte zur mutmasslichen Lohnentwicklung dieses Betriebes habe die SUVA weiter zutreffend den der ursprünglichen Verfügung zugrunde gelegten, tatsächlich erzielten Verdienst vor Eintritt des Gesundheitsschadens (Fr. 67'016.-) an die Nominallohnentwicklung angepasst und dabei ein massgebendes hypothetisches Valideneinkommen von Fr. 72'274.- ermittelt.</w:t>
      </w:r>
    </w:p>
    <w:p>
      <w:r>
        <w:rPr>
          <w:b/>
        </w:rPr>
        <w:t>E. 2.1.2</w:t>
      </w:r>
    </w:p>
    <w:p>
      <w:r>
        <w:t>Der Beschwerdeführer macht geltend, entgegen der vorinstanzlichen Auffassung habe der ehemalige Arbeitgeber am 20. Dezember 2003 die Löhne für die Jahre 2000 bis 2002 mit einem jeweils unveränderten Grundgehalt, zuzüglich Anteil 13. Monatslohn, Ferienentschädigung und Familienzulagen, mithin einen Jahresverdienst von Fr. 74'859.- bestätigt. Dazu ist festzuhalten, dass die von der Firma X.________ angegebenen "Kinder-/Familienzulagen" in Höhe von Fr. 480.- bei der Bestimmung des hypothetischen Valideinkommens nicht einbezogen werden können. Der Invaliditätsgrad drückt die aus der gesundheitlichen Beeinträchtigung folgende Einbusse an Erwerbskraft aus und ist anhand eines Einkommensvergleichs zu ermitteln (Art. 7 Abs. 1 in Verbindung mit Art. 16 ATSG ). Dies bedeutet, dass für die Invaliditätsbemessung grundsätzlich nur Einkünfte veranschlagt werden dürfen, die der Versicherte aus einer auf die Erzielung von Erwerbseinkommen gerichteten Tätigkeit gewinnen und von denen Beiträge gemäss AHVG erhoben würden (vgl. Art. 25 Abs. 1 IVV ; MEYER-BLASER, Rechtsprechung zum IVG, Zürich 1997, S. 200; KIESER, ATSG-Kommentar, Zürich/Basel/Genf 2009, S. 210). Sozialleistungen wie die Kinder- und Familienzulagen stellen indes kein Entgelt für eine Arbeitsleistung im Sinne der Rechtslage zur Bestimmung des Invaliditätsgrades dar.</w:t>
      </w:r>
    </w:p>
    <w:p>
      <w:r>
        <w:rPr>
          <w:b/>
        </w:rPr>
        <w:t>E. 2.1.3</w:t>
      </w:r>
    </w:p>
    <w:p>
      <w:r>
        <w:t>Auf der anderen Seite bringt der Beschwerdeführer zutreffend vor, dass der Vorinstanz bei der Indexierung des der ursprünglichen Rentenverfügung vom 28. Juli 1997 zugrunde gelegten Valideneinkommens offensichtlich ein Fehler unterlaufen ist. Sie ging vom Nominallohnindex für das Baugewerbe des Jahres 2004 aus. Heranzuziehen ist jedoch derjenige im revisionsrechtlich massgeblichen Zeitpunkt der Rentenerhöhung im Jahre 2005, der gemäss Statistischem Jahrbuch der Schweiz 2007, Bundesamt für Statistik (BFS), Tabelle T.3.4.3.1, Position 45 Baugewerbe, S. 107 114.0 Punkte betrug. In die Vergleichsrechnung ist daher ein Valideneinkommen von Fr. 73'108.40 (Fr. 67'016.- x 114,0 : 104,5) einzusetzen.</w:t>
      </w:r>
    </w:p>
    <w:p>
      <w:r>
        <w:rPr>
          <w:b/>
        </w:rPr>
        <w:t>E. 2.2.1</w:t>
      </w:r>
    </w:p>
    <w:p>
      <w:r>
        <w:t>Das kantonale Gericht legte das hypothetische Invalideneinkommen ausgehend von den Tabellenlöhnen der Schweizerischen Lohnstrukturerhebung 2004 des BFS unter Berücksichtigung der bis 2005 eingetretenen Nominallohnentwicklung, der unfallbedingten Einschränkung der Leistungsfähigkeit von 20 % und eines Tabellenlohnabzuges von 5 % fest (Fr. 43'951.-). Der Beschwerdeführer macht eine Kürzung um mindestens 15 % geltend.</w:t>
      </w:r>
    </w:p>
    <w:p>
      <w:r>
        <w:rPr>
          <w:b/>
        </w:rPr>
        <w:t>E. 2.2.2</w:t>
      </w:r>
    </w:p>
    <w:p>
      <w:r>
        <w:t>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126 V 321 E. 3b/aa S. 323) und je nach Ausprägung die versicherte Person deswegen die verbliebene Arbeitsfähigkeit auch auf dem ausgeglichenen Arbeitsmarkt nur mit unterdurchschnittlichem Erfolg zu verwerten vermag ( BGE 126 V 75 E. 5b/aa in fine S. 80). Die Frage, ob ein Abzug vorzunehmen sei, ist rechtlicher Natur, die Bestimmung eines solchen Abzuges dagegen Ermessensfrage, die im Gegensatz zum früheren Recht (vgl. Art. 104 lit. c OG ) nicht zu prüfen ist ( Art. 95 und 97 BGG ). Gerügt werden kann nur die Höhe des Abzuges im Hinblick auf Ermessensüberschreitung oder -missbrauch als Formen rechtsfehlerhafter ( Art. 95 lit. a BGG ) Ermessensbetätigung ( BGE 132 V 393 E. 3.3 S. 399; Urteil 9C_24/2009 vom 6. März 2009 E. 1.2 [publ. in: SVR 2009 IV Nr. 34 S. 95]). Die freie gerichtliche Ermessensprüfung im Sinne der Angemessenheitskontrolle ist mit Inkrafttreten des BGG am 1. Januar 2007 auch auf dem Gebiet der Geldleistungen der Militär- und Unfallversicherung ausgeschlossen (vgl. Urteile 8C_701/2008 vom 12. Juni 2009 E. 4.2.2 und 8C_664/2007 vom 14. April 2008 E. 8.1; ULRICH MEYER, Basler Kommentar zum Bundesgerichtsgesetz, Basel 2008, N 30 zu Art. 105 BGG ; MARKUS SCHOTT, Basler Kommentar zum Bundesgerichtsgesetz, Basel 2008, N 26 zu Art. 97 BGG ).</w:t>
      </w:r>
    </w:p>
    <w:p>
      <w:r>
        <w:rPr>
          <w:b/>
        </w:rPr>
        <w:t>E. 2.2.3</w:t>
      </w:r>
    </w:p>
    <w:p>
      <w:r>
        <w:t>Die Vorinstanz erwog, die ärztlich festgestellten schmerzbedingten Beeinträchtigungen seien in der Leistungseinbusse von 20 % bei zumutbarem ganztägigem Arbeitseinsatz enthalten, weshalb eine (überproportional) tiefere Entlöhnung im Vergleich zum statistischen Durchschnittswert nicht zu erwarten sei. Daher lasse sich der von der SUVA vorgenommene Abzug von 15 % nicht rechtfertigen. Anderseits sei zu erwarten, dass der auf zwei Gehstöcke angewiesene Versicherte auf dem ausgeglichenen Arbeitsmarkt lohnmässig benachteiligt sei, zumal er beim Gehen nicht zugleich noch irgendwelche Gegenstände zu tragen vermöge. Dadurch werde er hinsichtlich zumutbarer Arbeitsgelegenheiten zusätzlich eingeschränkt, sodass nur noch leichteste Tätigkeiten in faktisch ausschliesslich sitzender Postion möglich seien. Daher rechtfertige sich ein zur Rendementbeschränkung hinzukommender leidensbedingter Abzug von 5 %.</w:t>
      </w:r>
    </w:p>
    <w:p>
      <w:r>
        <w:t>Es ist nicht ersichtlich, inwiefern diese Beurteilung "unhaltbar" ist, wie der Beschwerdeführer ohne nähere Begründung geltend macht. Zum einen legt das kantonale Gericht durchaus triftige Gründe (vgl. BGE 126 V 75 ) dar, vom Einspracheentscheid der SUVA vom 20. Juni 2008 abzuweichen. Ein Ermessensmissbrauch, der nur gegeben ist, wenn die Behörde sich von unsachlichen, dem Zweck der massgebenden Vorschriften fremden Erwägungen leiten lässt oder allgemeine Rechtsprinzipien, wie das Verbot von Willkür und von rechtsungleicher Behandlung, verletzt ( BGE 130 III 611 E. 1.2 S. 615 und 123 V 150 E. 2 S. 152, je mit Hinweisen), liegt jedenfalls nicht vor.</w:t>
      </w:r>
    </w:p>
    <w:p>
      <w:r>
        <w:rPr>
          <w:b/>
        </w:rPr>
        <w:t>E. 3</w:t>
      </w:r>
    </w:p>
    <w:p>
      <w:r>
        <w:t>Aus dem Vergleich des Valideneinkommens von Fr. 73'108.40 (E. 2.1.3 in fine hievor) mit dem Invalideneinkommen von Fr. 43'951.- (E. 2.2.1) resultiert eine unfallbedingte Erwerbseinbusse von (aufgerundet) 40 %, weshalb die Beschwerde gutzuheissen ist.</w:t>
      </w:r>
    </w:p>
    <w:p>
      <w:r>
        <w:rPr>
          <w:b/>
        </w:rPr>
        <w:t>E. 4</w:t>
      </w:r>
    </w:p>
    <w:p>
      <w:r>
        <w:t>Dem Prozessausgang entsprechend sind die Gerichtskosten der SUVA aufzuerlegen ( Art. 66 Abs. 1 Satz 1 BGG ). Sie hat dem Beschwerdeführer infolge Obsiegens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