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8C_568/2025 vom 21. Oktober 2025</w:t>
      </w:r>
    </w:p>
    <w:p>
      <w:r>
        <w:t>Bundesgericht, 2025-10-21, DE</w:t>
      </w:r>
    </w:p>
    <w:p>
      <w:r>
        <w:rPr>
          <w:b/>
        </w:rPr>
        <w:t xml:space="preserve">Quelle: </w:t>
      </w:r>
      <w:r>
        <w:t>https://mcp.opencaselaw.ch/entscheid/bger_8C_568_2025</w:t>
      </w:r>
    </w:p>
    <w:p>
      <w:r>
        <w:t>FR: TF 8C_568/2025 du 21 octobre 2025</w:t>
      </w:r>
    </w:p>
    <w:p>
      <w:r>
        <w:t>IT: TF 8C_568/2025 del 21 ottobre 2025</w:t>
      </w:r>
    </w:p>
    <w:p>
      <w:pPr>
        <w:pStyle w:val="Heading2"/>
      </w:pPr>
      <w:r>
        <w:t>Erwägungen</w:t>
      </w:r>
    </w:p>
    <w:p>
      <w:r>
        <w:rPr>
          <w:b/>
        </w:rPr>
        <w:t>E. 1</w:t>
      </w:r>
    </w:p>
    <w:p>
      <w:r>
        <w:t>Das vorinstanzliche Urteil wurde A.________ gemäss postamtlicher Bescheinigung am 15. August 2025 zugestellt. Die am folgenden Tag zu laufen beginnende 30-tägige Rechtsmittelfrist ist demnach am 15. September 2025 abgelaufen (Art- 44-48 und Art. 100 Abs. 1 BGG ). Innert dieser Frist hat die Beschwerdeführerin ihre erste Eingabe nicht ergänzt.</w:t>
      </w:r>
    </w:p>
    <w:p>
      <w:r>
        <w:rPr>
          <w:b/>
        </w:rPr>
        <w:t>E. 2</w:t>
      </w:r>
    </w:p>
    <w:p>
      <w:r>
        <w:t>Vorinstanzliche Urteile sind - abgesehen von vorliegend nicht interessierenden Ausnahmen (vgl. Art. 89 Abs. 2 und 3 BGG ) - vor Bundesgericht nur soweit anfechtbar, als die beschwerdeführende Person auch ein schutzwürdiges Interesse daran hat ( Art. 89 Abs. 1 lit. c BGG ). Dieses ist, abgesehen vom augenfälligen Vorhandensein, in der Beschwerdeschrift darzulegen (vgl. BGE 141 VI 1 E. 1.1; 138 III 537 E. 1.2; 135 III 46 E. 4; je mit Hinweisen). Fehlt es an einem (erkennbaren) schutzwürdigen Interesse an der Aufhebung oder Abänderung des vorinstanzlichen Urteils, ist auf die Beschwerde mangels Beschwer nicht einzutreten.</w:t>
      </w:r>
    </w:p>
    <w:p>
      <w:r>
        <w:rPr>
          <w:b/>
        </w:rPr>
        <w:t>E. 3</w:t>
      </w:r>
    </w:p>
    <w:p>
      <w:r>
        <w:t>Das Verwaltungsgericht hat im Urteil vom 30. Juli 2025 die von der Einlegerin erhobene Beschwerde gutgeheissen. Innert der am 15. September 2025 abgelaufenen Rechtsmittelfrist macht die Beschwerdeführerin keine Ausführungen, weshalb sie trotz der vorinstanzlichen Gutheissung ein schutzwürdiges Interesse an der Änderung des verwaltungsgerichtlichen Urteils haben soll. Die erst nach Ablauf der Rechtsmittelfrist eingereichte Eingabe kann in diesem Zusammenhang nicht berücksichtigt werden. Somit ist auf die Eingabe vom 29. August 2025 mangels Beschwer nicht einzutreten.</w:t>
      </w:r>
    </w:p>
    <w:p>
      <w:r>
        <w:rPr>
          <w:b/>
        </w:rPr>
        <w:t>E. 4</w:t>
      </w:r>
    </w:p>
    <w:p>
      <w:r>
        <w:t>Das Gericht behält sich vor, weitere gleichartige Eingaben inskünftig unbeantwortet abzulegen.</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