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8C_568/2024 vom 11. Oktober 2024</w:t>
      </w:r>
    </w:p>
    <w:p>
      <w:r>
        <w:t>Bundesgericht, 2024-10-11, DE</w:t>
      </w:r>
    </w:p>
    <w:p>
      <w:r>
        <w:rPr>
          <w:b/>
        </w:rPr>
        <w:t xml:space="preserve">Quelle: </w:t>
      </w:r>
      <w:r>
        <w:t>https://mcp.opencaselaw.ch/entscheid/bger_8C_568_2024</w:t>
      </w:r>
    </w:p>
    <w:p>
      <w:r>
        <w:t>FR: TF 8C_568/2024 du 11 octobre 2024</w:t>
      </w:r>
    </w:p>
    <w:p>
      <w:r>
        <w:t>IT: TF 8C_568/2024 del 11 ottobre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 im Entscheid vom 8. August 2024 in Auseinandersetzung mit den Parteivorbringen und in Würdigung der Akten eingehend dar, weshalb kein Anspruch auf eine Rente der Invalidenversicherung besteht.</w:t>
      </w:r>
    </w:p>
    <w:p>
      <w:r>
        <w:rPr>
          <w:b/>
        </w:rPr>
        <w:t>E. 3</w:t>
      </w:r>
    </w:p>
    <w:p>
      <w:r>
        <w:t>Der Beschwerdeführer zeigt in seiner Rechtsschrift nicht hinreichend auf, inwieweit die vom kantonalen Gericht in diesem Zusammenhang getroffenen Sachverhaltsfeststellungen offensichtlich unrichtig im Sinne von Art. 97 Abs. 1 BGG , das heisst willkürlich ( BGE 146 IV 88 E. 1.3.1 f.; 140 III 115 E. 2; je mit Hinweisen), sein sollen. Ebenso wenig tut er dar, weshalb die darauf beruhenden Erwägungen gegen Bundesrecht verstossen oder einen anderen Beschwerdegrund (vgl. Art. 95 lit. a-e BGG ) gesetzt haben könnten. Lediglich zu behaupten, alle Erwägungen des kantonalen Gerichts würden auf falschen oder unvollständigen Angaben basieren und der Sachverhalt sei "nicht stringent überprüft" worden, stellt praxisgemäss keine genügende Begründung eines Rechtsmittels dar. Denn die beschwerdeführende Partei soll in der Beschwerdeschrift ans Bundesgericht nicht bloss die Rechtsstandpunkte, die sie im Verwaltungs- oder im kantonalen Gerichtsverfahren eingenommen hat, erneut bekräftigen, sondern mit ihrer Kritik an den als rechtsfehlerhaft erachteten Erwägungen der Vorinstanz ansetzen (vgl. BGE 145 V 141 E. 5.1; 143 II 283 E. 1.2.3; 140 III 115 E. 2 mit Hinweisen).</w:t>
      </w:r>
    </w:p>
    <w:p>
      <w:r>
        <w:rPr>
          <w:b/>
        </w:rPr>
        <w:t>E. 4</w:t>
      </w:r>
    </w:p>
    <w:p>
      <w:r>
        <w:t>Eine vom Beschwerdeführer sinngemäss geforderte Erstreckung der Beschwerdefrist bzw. eine Nachfristansetzung zwecks Beizugs einer anwaltlichen Vertretung und Ergänzung der Beschwerdebegründung fällt mit Blick auf Art. 100 Abs. 1 BGG von vornherein ausser Betracht.</w:t>
      </w:r>
    </w:p>
    <w:p>
      <w:r>
        <w:rPr>
          <w:b/>
        </w:rPr>
        <w:t>E. 5</w:t>
      </w:r>
    </w:p>
    <w:p>
      <w:r>
        <w:t>Die am 30. September 2024, somit nach Ablauf der Rechtsmittelfrist, der Post aufgegebene Eingabe vom 16. September 2024, die nach der Angabe des Beschwerdeführers zu 98 % deckungsgleich mit seiner fristgerecht eingereichten Beschwerdeschrift vom 14. September 2024 (Postaufgabedatum: 16. September 2024) sein soll, bleibt unbeachtlich.</w:t>
      </w:r>
    </w:p>
    <w:p>
      <w:r>
        <w:rPr>
          <w:b/>
        </w:rPr>
        <w:t>E. 6</w:t>
      </w:r>
    </w:p>
    <w:p>
      <w:r>
        <w:t>Der Begründungsmangel ist offensichtlich, weshalb im vereinfachten Verfahren nach Art. 108 Abs. 1 lit. b BGG auf das Rechtsmittel nicht einzutreten ist.</w:t>
      </w:r>
    </w:p>
    <w:p>
      <w:r>
        <w:rPr>
          <w:b/>
        </w:rPr>
        <w:t>E. 7</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