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8C_568/2023 vom 21. September 2023</w:t>
      </w:r>
    </w:p>
    <w:p>
      <w:r>
        <w:t>Bundesgericht, 2023-09-21, DE</w:t>
      </w:r>
    </w:p>
    <w:p>
      <w:r>
        <w:rPr>
          <w:b/>
        </w:rPr>
        <w:t xml:space="preserve">Quelle: </w:t>
      </w:r>
      <w:r>
        <w:t>https://mcp.opencaselaw.ch/entscheid/bger_8C_568_2023</w:t>
      </w:r>
    </w:p>
    <w:p>
      <w:r>
        <w:t>FR: TF 8C_568/2023 du 21 septembre 2023</w:t>
      </w:r>
    </w:p>
    <w:p>
      <w:r>
        <w:t>IT: TF 8C_568/2023 del 21 settembre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Eine Ausnahme davon besteht allein bei Beschwerden gegen einen Entscheid über die Zusprechung oder Verweigerung von Geldleistungen der Militär- oder Unfallversicherung. Dort kann jede unrichtige oder unvollständige Feststellung des rechtserheblichen Sachverhalts gerügt werden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21. Juli 2023 in Auseinandersetzung mit den Parteivorbringen und in Würdigung der Akten dar, weshalb sich der Taggeldanspruch des Beschwerdeführers für die Zeit bis zur Vollendung des 20. Altersjahres auf Fr. 40.70 beläuft, was zur Bestätigung der in diesem Sinne abgefassten Verfügung der Beschwerdegegnerin vom 16. März 2023 führte. Bezogen auf die Forderung des Beschwerdeführers, das Taggeld sei in Abweichung des materiellen Rechts auf der Grundlage des Kreisschreibens über die Taggelder der Invalidenversicherung (KSTI) bzw. des von der Beschwerdegegnerin herausgegebenen Merkblatts 4.02 Leistungen der IV, Taggelder der IV, Stand am 1. Januar 2020, Rz. 15, auszurichten, führte das kantonale Gericht näher aus, weshalb diesem Ansinnen nicht entsprochen werden kann. Sodann hat es die Voraussetzungen dargelegt, unter denen ausnahmsweise eine vom materiellen Recht abweichende Behandlung der rechtsuchenden Person möglich ist und dazu festgehalten, hierfür fehle es bereits an einer konkreten vorbehaltlosen Auskunft von Seiten der Beschwerdegegnerin, dass der Beschwerdeführer Anspruch auf das höhere (von ihm geltend gemachte) Taggeld von Fr. 122.10 habe; darüber hinaus habe er im Vertrauen darauf (ohnehin) keine Dispositionen getroffen, die er nicht ohne Nachteile rückgängig machen könnte.</w:t>
      </w:r>
    </w:p>
    <w:p>
      <w:r>
        <w:rPr>
          <w:b/>
        </w:rPr>
        <w:t>E. 3</w:t>
      </w:r>
    </w:p>
    <w:p>
      <w:r>
        <w:t>Darauf geht de r Beschwerdeführer nicht hinreichend ein. Weder zeigt er auf, inwieweit die von der Vorinstanz in diesem Zusammenhang getroffenen Sachverhaltsfeststellungen - im Besonderen jene zur fehlenden Aussage der Beschwerdegegnerin auf konkrete Anfrage hin, Anspruch auf Auszahlung von 30 % des Höchstbetrages des kleinen Taggelds zu haben -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Vielmehr beschränkt er sich im Wesentlichen darauf, seine eigene Sicht der Dinge wiederzugeben, ohne auf das dazu Erwogene hinreichend einzugehen. Inwiefern er sämtliche der von der Vorinstanz genannten Voraussetzungen für eine vom materiellen Recht abweichende Behandlung erfüllen soll, legt er nicht dar.</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der Beschwerdeergänzung vom 13. September 2023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