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565/2014 vom 23. September 2014</w:t>
      </w:r>
    </w:p>
    <w:p>
      <w:r>
        <w:t>Bundesgericht, 2014-09-23, DE</w:t>
      </w:r>
    </w:p>
    <w:p>
      <w:r>
        <w:rPr>
          <w:b/>
        </w:rPr>
        <w:t xml:space="preserve">Quelle: </w:t>
      </w:r>
      <w:r>
        <w:t>https://mcp.opencaselaw.ch/entscheid/bger_8C_565_2014</w:t>
      </w:r>
    </w:p>
    <w:p>
      <w:r>
        <w:t>FR: TF 8C 565/2014 du 23 septembre 2014</w:t>
      </w:r>
    </w:p>
    <w:p>
      <w:r>
        <w:t>IT: TF 8C 565/2014 del 23 settembre 2014</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es ist nicht gehalten, wie eine erstinstanzliche Behörde alle sich stellenden Fragen, also auch solche, die vor Bundesgericht nicht mehr aufgegriffen werden, zu untersuchen ( BGE 133 II 249 E. 1.4.1 S. 254).</w:t>
      </w:r>
    </w:p>
    <w:p>
      <w:r>
        <w:rPr>
          <w:b/>
        </w:rPr>
        <w:t>E. 2</w:t>
      </w:r>
    </w:p>
    <w:p>
      <w:r>
        <w:t>Streitig und zu prüfen ist letztinstanzlich einzig noch, welcher Jahresverdienst der Berechnung der von der Allianz auszurichtenden Rente zugrunde zu legen ist. Die Vorinstanz hat die Bestimmungen über den versicherten Verdienst für die Bemessung der Renten im Allgemeinen ( Art. 15 Abs. 1 und 2 UVG ; Art. 15 Abs. 3 UVG in Verbindung mit Art. 22 Abs. 4 UVV ; hiezu vgl. auch BGE 118 V 298 ff.; RKUV 2005 UV Nr. 551 S. 299 E. 1.2 [U 307/04]) und bei Rentenbeginn mehr als fünf Jahre nach dem Unfall oder dem Ausbruch der Berufskrankheit im Speziellen ( Art. 15 Abs. 3 UVG in Verbindung mit Art. 24 Abs. 2 UVV ; hiezu vgl. auch BGE 127 V 165 , 123 V 45, 118 V 298 ff.) zutreffend dargelegt. Es wird darauf verwiesen.</w:t>
      </w:r>
    </w:p>
    <w:p>
      <w:r>
        <w:rPr>
          <w:b/>
        </w:rPr>
        <w:t>E. 3</w:t>
      </w:r>
    </w:p>
    <w:p>
      <w:r>
        <w:t>In tatsächlicher Hinsicht ist unbestritten, dass die Beschwerdeführerin vor dem Unfall vom 28. November 2005 als Hauswartin Fr. 430.-- im Monat, beziehungsweise Fr. 5'160.-- jährlich, und als Serviceangestellte Fr. 9'123.-- verdient hatte. Auf den 1. Juni 2006 schloss sie mit der C.________ AG einen neuen Arbeitsvertrag, wonach sie ab jenem Zeitpunkt Fr. 2000.-- im Monat verdiente.</w:t>
      </w:r>
    </w:p>
    <w:p>
      <w:r>
        <w:rPr>
          <w:b/>
        </w:rPr>
        <w:t>E. 4.1</w:t>
      </w:r>
    </w:p>
    <w:p>
      <w:r>
        <w:t>Die Vorinstanz hat gestützt auf die Aktenlage erwogen, es liege weder vollumfänglich ein Sonderfall gemäss Art. 24 Abs. 2 UVV , noch ein solcher nach Art. 24 Abs. 4 UVV vor. Dies weil die Versicherte am 4. Juli 2007 einen zweiten versicherten Unfall erlitten hatte, zu diesem Zeitpunkt aber noch keine Rente bezog. Sie hat diesbezüglich auf die Rechtsprechung des Bundesgerichts verwiesen ( BGE 123 V 45 ), wonach sich der massgebende versicherte Jahresverdienst bei der erstmaligen Rentenfestsetzung nach mehreren invalidisierenden Unfällen und einem Rentenbeginn später als fünf Jahre nach dem ersten Unfall nach Art. 24 Abs. 2 UVV bestimmt und dies selbst bei Rückfällen oder Spätfolgen gilt, die mehr als fünf Jahre nach dem Unfall eintreten ( BGE 140 V 41 E. 6.1.2 S. 45).</w:t>
      </w:r>
    </w:p>
    <w:p>
      <w:r>
        <w:rPr>
          <w:b/>
        </w:rPr>
        <w:t>E. 4.2</w:t>
      </w:r>
    </w:p>
    <w:p>
      <w:r>
        <w:t>Den umfassenden vorinstanzlichen Erwägungen ist in allen Punkten beizupflichten. Änderungen in den persönlichen erwerblichen Verhältnissen nach einem Unfall bleiben bei der Bemessung des für die Rentenberechnung massgebenden Verdienstes grundsätzlich unbeachtlich. Berücksichtigt wird rechtsprechungsgemäss lediglich die allgemeine Lohnentwicklung (Urteil 8C_237/2011 vom 19. August 2011 E. 3.3; RKUV 2002 Nr. U 427/99 E. 3a mit Hinweisen; ANDRÉ PIERRE HOLZER, Der versicherte Verdienst in der obligatorischen Unfallversicherung, SZS, 2010 S. 224 f.). Die Einwendungen der Beschwerdeschrift, welche sich in der Darlegung der mit dieser Erkenntnis nicht in Einklang stehenden Betrachtungsweise der Beschwerdeführerin erschöpfen, bieten keine Veranlassung zu einer erneuten Prüfung dieser bereits beantworteten Rechtsfrage. Der ohne weitere Begründung erfolgte Hinweis, die bundesgerichtliche Rechtsprechung vermöge nicht in jedem Fall zu überzeugen, bietet keinen Anlass, diese zu überdenken.</w:t>
      </w:r>
    </w:p>
    <w:p>
      <w:r>
        <w:rPr>
          <w:b/>
        </w:rPr>
        <w:t>E. 5</w:t>
      </w:r>
    </w:p>
    <w:p>
      <w:r>
        <w:t>Die Beschwerde wird im vereinfachten Verfahren nach Art. 109 BGG als offensichtlich unbegründet (Abs. 2 lit. a) mit summarischer Begründung und unter Verweis auf den vorinstanzlichen Entscheid (Abs. 3) ohne Durchführung eines Schriftenwechsels ( Art. 102 Abs. 1 BGG ) erledigt. Bei diesem Verfahrensausgang sind die Gerichtskosten (Art. 65 Abs. 1 und Abs. 4 lit. a BGG)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