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563/2016 vom 11. November 2016</w:t>
      </w:r>
    </w:p>
    <w:p>
      <w:r>
        <w:t>Bundesgericht, 2016-11-11, DE</w:t>
      </w:r>
    </w:p>
    <w:p>
      <w:r>
        <w:rPr>
          <w:b/>
        </w:rPr>
        <w:t xml:space="preserve">Quelle: </w:t>
      </w:r>
      <w:r>
        <w:t>https://mcp.opencaselaw.ch/entscheid/bger_8C_563_2016</w:t>
      </w:r>
    </w:p>
    <w:p>
      <w:r>
        <w:t>FR: TF 8C 563/2016 du 11 novembre 2016</w:t>
      </w:r>
    </w:p>
    <w:p>
      <w:r>
        <w:t>IT: TF 8C 563/2016 del 11 novembre 2016</w:t>
      </w:r>
    </w:p>
    <w:p>
      <w:pPr>
        <w:pStyle w:val="Heading2"/>
      </w:pPr>
      <w:r>
        <w:t>Regeste</w:t>
      </w:r>
    </w:p>
    <w:p>
      <w:r>
        <w:t>Unfallversicherung (Kausalzusammenhang)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138 I 274 E. 1.6 S. 280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für die Beurteilung des strittigen Anspruchs auf Unfallversicherungsleistungen nach Gesetz und Rechtsprechung massgebenden Grundlagen im angefochtenen Entscheid zutreffend dargelegt. Darauf wird verwiesen ( Art. 109 Abs. 3 Satz 2 BGG ).</w:t>
      </w:r>
    </w:p>
    <w:p>
      <w:r>
        <w:rPr>
          <w:b/>
        </w:rPr>
        <w:t>E. 3</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Bei den beiden neu - nach Erlass des angefochtenen Entscheides - erstellten Berichten der Klinik D.________ vom 1. September 2016 und der psychiatrischen Klinik E.________ vom 20. Oktober 2016 handelt es sich um echte Noven, welche im vorliegenden Verfahren unbeachtlich sind. Die rentenablehnende Verfügung der IV-Stelle des Kantons Aargau vom 19. Dezember 2014 befindet sich bereits bei den Vorakten.</w:t>
      </w:r>
    </w:p>
    <w:p>
      <w:r>
        <w:rPr>
          <w:b/>
        </w:rPr>
        <w:t>E. 4</w:t>
      </w:r>
    </w:p>
    <w:p>
      <w:r>
        <w:t>Das kantonale Gericht lässt offen, ob der natürliche Kausalzusammenhang zwischen den Unfällen aus den Jahren 1995 und 2011 und den anhaltend geklagten, organisch objektiv nicht ausgewiesenen Restbeschwerden gegeben ist. Dieses Vorgehen lässt sich nicht beanstanden, denn es kann entgegen der Ansicht des Versicherten tatsächlich darauf verzichtet werden, Bestand und natürliche Kausalität der nicht objektiv erklärbaren Einschränkungen und Beschwerden näher abzuklären, wenn es sich erweist, dass ein allfälliger natürlicher Kausalzusammenhang nicht adäquat und damit nicht rechtsgenüglich wäre ( BGE 135 V 465 E. 5.1 S. 472). Im angefochtenen Entscheid wird die Verneinung der Adäquanz unter Hinweis auf die im Einspracheentscheid von der SUVA anhand der so genannten Schleudertrauma-Praxis durchgeführten Prüfung bestätigt. Dagegen erhebt der Versicherte letztinstanzlich keine Einwände. Soweit er geltend macht, das kantonale Gericht habe übersehen, dass die involvierten Ärzte und medizinischen Gutachter namentlich die Störung des Gleichgewichtsfunktionssystems, das chronische panvertebrale Schmerzsyndrom und die mittelgradige depressive Episode sowie die daraus resultierende Einschränkung der Arbeitsfähigkeit als unfallkausal qualifiziert hätten, ist er darauf hinzuweisen, dass die Adäquanzbeurteilung nicht medizinischer, sondern rechtlicher Natur ist. Bei fehlender Adäquanz erübrigen sich die beantragten weiteren Sachverhaltsabklärungen zur natürlichen Ursache der persistierenden Beschwerden. Es bleibt demzufolge bei der vorinstanzlich bestätigten Leistungseinstellung.</w:t>
      </w:r>
    </w:p>
    <w:p>
      <w:r>
        <w:rPr>
          <w:b/>
        </w:rPr>
        <w:t>E. 5</w:t>
      </w:r>
    </w:p>
    <w:p>
      <w:r>
        <w:t>Die Beschwerde hatte keine Aussicht auf Erfolg, weshalb sie im vereinfachten Verfahren nach Art. 109 BGG als offensichtlich unbegründet (Abs. 2 lit. a), mit summarischer Begründung und unter Verweis auf den vorinstanzlichen Entscheid (Abs. 3) ohne Durchführung eines Schriftenwechsels ( Art. 102 Abs. 1 BGG ) erledigt wird.</w:t>
      </w:r>
    </w:p>
    <w:p>
      <w:r>
        <w:rPr>
          <w:b/>
        </w:rPr>
        <w:t>E. 6</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