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8C_562/2024 vom 22. Oktober 2024</w:t>
      </w:r>
    </w:p>
    <w:p>
      <w:r>
        <w:t>Bundesgericht, 2024-10-22, DE</w:t>
      </w:r>
    </w:p>
    <w:p>
      <w:r>
        <w:rPr>
          <w:b/>
        </w:rPr>
        <w:t xml:space="preserve">Quelle: </w:t>
      </w:r>
      <w:r>
        <w:t>https://mcp.opencaselaw.ch/entscheid/bger_8C_562_2024</w:t>
      </w:r>
    </w:p>
    <w:p>
      <w:r>
        <w:t>FR: TF 8C_562/2024 du 22 octobre 2024</w:t>
      </w:r>
    </w:p>
    <w:p>
      <w:r>
        <w:t>IT: TF 8C_562/2024 del 22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3. September 2024 die vom Beschwerdegegner gestützt auf Art. 30 Abs. 1 lit. a AVIG verfügte Einstellung des Beschwerdeführers in der Anspruchsberechtigung auf Arbeitslosenentschädigung für die Dauer von 50 Tagen (vgl. Verfügung vom 17. Januar 2024, bestätigt mit Einspracheentscheid vom 30. Januar 2024). Dabei setzte es sich einlässlich mit den Parteivorbringen auseinander und legte in Würdigung der Akten ausführlich dar, weshalb von einer zumindest eventualvorsätzlich selbstverschuldeten Arbeitslosigkeit auszugehen sei, welche eine Einstellung in diesem Umfang erlaube.</w:t>
      </w:r>
    </w:p>
    <w:p>
      <w:r>
        <w:rPr>
          <w:b/>
        </w:rPr>
        <w:t>E. 3</w:t>
      </w:r>
    </w:p>
    <w:p>
      <w:r>
        <w:t>Der Beschwerdeführer legt die zur fristlosen Kündigung führenden Umstände aus seiner Sicht dar. Inwiefern das von der Vorinstanz dazu Erwogene willkürlich (vgl. BGE 146 IV 88 E. 1.3.1 f.; 140 III 115 E. 2; je mit Hinweisen) sein oder sonstwie gegen Recht (vgl. Art. 95 lit. a-e BGG ) verstossen soll, legt er nicht dar. Allein zu beanstanden, das kantonale Gericht habe die Vorbringen nicht hinreichend gewürdigt und die Einstellung führe zu einem finanziellen Engpass, reicht nicht aus. Eine willkürliche Beweiswürdigung bzw. rechtsfehlerhafte Ermessensausübung bei der Bestätigung der Einstellungsdauer ist damit nicht dargetan.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