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8C_562/2017 vom 26. Januar 2018</w:t>
      </w:r>
    </w:p>
    <w:p>
      <w:r>
        <w:t>Bundesgericht, 2018-01-26, DE</w:t>
      </w:r>
    </w:p>
    <w:p>
      <w:r>
        <w:rPr>
          <w:b/>
        </w:rPr>
        <w:t xml:space="preserve">Quelle: </w:t>
      </w:r>
      <w:r>
        <w:t>https://mcp.opencaselaw.ch/entscheid/bger_8C_562_2017</w:t>
      </w:r>
    </w:p>
    <w:p>
      <w:r>
        <w:t>FR: TF 8C_562/2017 du 26 janvier 2018</w:t>
      </w:r>
    </w:p>
    <w:p>
      <w:r>
        <w:t>IT: TF 8C_562/2017 del 26 gennaio 2018</w:t>
      </w:r>
    </w:p>
    <w:p>
      <w:pPr>
        <w:pStyle w:val="Heading2"/>
      </w:pPr>
      <w:r>
        <w:t>Erwägungen</w:t>
      </w:r>
    </w:p>
    <w:p>
      <w:r>
        <w:rPr>
          <w:b/>
        </w:rPr>
        <w:t>E. 1.1</w:t>
      </w:r>
    </w:p>
    <w:p>
      <w:r>
        <w:t>Das Bundesgericht prüft von Amtes wegen und mit freier Kognition, ob ein Rechtsmittel zulässig ist ( BGE 141 V 206 E. 1.1 S. 208 mit Hinweisen).</w:t>
      </w:r>
    </w:p>
    <w:p>
      <w:r>
        <w:rPr>
          <w:b/>
        </w:rPr>
        <w:t>E. 1.2</w:t>
      </w:r>
    </w:p>
    <w:p>
      <w:r>
        <w:t>Der angefochtene Entscheid des Bundesverwaltungsgerichts betrifft ein auf dem Bundespersonalgesetz beruhendes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2.3</w:t>
      </w:r>
    </w:p>
    <w:p>
      <w:r>
        <w:t>Neue Tatsachen und Beweismittel dürfen vor Bundesgericht nur so weit vorgebracht werden, als erst der Entscheid der Vorinstanz dazu Anlass gibt ( Art. 99 Abs. 1 BGG ), was in der Beschwerde näher darzulegen ist.</w:t>
      </w:r>
    </w:p>
    <w:p>
      <w:r>
        <w:rPr>
          <w:b/>
        </w:rPr>
        <w:t>E. 3</w:t>
      </w:r>
    </w:p>
    <w:p>
      <w:r>
        <w:t>Streitig und zu prüfen ist, ob die Vorinstanz Bundesrecht verletzte, indem sie die Rechtmässigkeit der ordentlichen Kündigung gemäss Verfügung vom 19. November 2015 bestätigte.</w:t>
      </w:r>
    </w:p>
    <w:p>
      <w:r>
        <w:t>Das Bundesverwaltungsgericht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BPG Geltung hat; vgl. Urteil 8C_87/2017 vom 28. April 2017 E. 4.2 mit Hinweisen), namentlich wegen Verletzung wichtiger gesetzlicher oder vertraglicher Pflichten ( Art. 10 Abs. 3 lit. a BPG ) und wegen Mängeln in der Leistung oder im Verhalten ( Art. 10 Abs. 3 lit. b BPG ) zutreffend dargelegt. Richtig wiedergegeben hat es auch die Bestimmungen und Grundsätze über die allgemeine Treuepflicht ( Art. 20 Abs. 1 BPG ) und über die Missbräuchlichkeit einer Kündigung ( Art. 6 Abs. 2 und Art. 34c Abs. 1 lit. b BPG in Verbindung mit Art. 336 OR ). Darauf wird verwiesen.</w:t>
      </w:r>
    </w:p>
    <w:p>
      <w:r>
        <w:rPr>
          <w:b/>
        </w:rPr>
        <w:t>E. 4.1</w:t>
      </w:r>
    </w:p>
    <w:p>
      <w:r>
        <w:t>Die Vorinstanz hat erkannt, dass die Beschwerdegegnerin das Arbeitsverhältnis nach Massgabe der anwendbaren Bestimmungen basierend auf einem rechtlich zulässigen Kündigungsgrund in formeller Hinsicht korrekt aufgelöst hat. So habe die Arbeitgeberin den Beschwerdeführer bereits im Vorfeld der Kündigung im Zusammenhang mit dem Versand von E-Mails an einen grösseren Adressatenkreis mindestens zweimal aufgefordert und zusätzlich am 29. April 2015 formell ermahnt, inskünftig den Dienstweg einzuhalten und seine dienstlichen Anliegen vorab mit seinem Vorgesetzten zu besprechen. Trotzdem habe der Beschwerdeführer nach der Besprechung vom 22. Mai 2015 bezüglich einer Facebook-Notiz Strafanzeige gegen zwei Arbeitskollegen erstattet, dies ohne das Gespräch mit den beiden Angezeigten gesucht oder sich an den nächsthöheren Vorgesetzten, den für eine Strafanzeige zuständigen Präsidenten oder eine andere interne Stelle gewandt zu haben. In diesem Verhalten liege - so das Bundesverwaltungsgericht - eine Treuepflichtverletzung im Sinne von Art. 20 Abs. 1 BPG in Verbindung mit Art. 10 Abs. 3 lit. a BPG , jedenfalls aber ein mangelhaftes Verhalten im Sinne von Art. 10 Abs. 3 lit. b BPG , was die Auflösung des Arbeitsverhältnisses rechtfertige. Die Vorinstanz legte im Weiteren dar, dass die Kündigung entgegen der Auffassung des Beschwerdeführers auch nicht missbräuchlich sei. Weder sei dargetan, dass der Beschwerdegegnerin vorgeworfene Missstände für die Auflösung des Arbeitsverhältnisses ausschlaggebend gewesen seien, noch lasse die Art und Weise der Kündigung oder eine Fürsorgepflichtverletzung der Arbeitgeberin die Kündigung als missbräuchlich erscheinen.</w:t>
      </w:r>
    </w:p>
    <w:p>
      <w:r>
        <w:rPr>
          <w:b/>
        </w:rPr>
        <w:t>E. 4.2</w:t>
      </w:r>
    </w:p>
    <w:p>
      <w:r>
        <w:t>Diese Beurteilung beruht auf einer einlässlichen Würdigung der Sach- und Rechtslage. Die Vorbringen in der Beschwerde - soweit überhaupt rechtsgenüglich - vermögen nicht, sie als offensichtlich unrichtig oder sonstwie bundesrechtswidrig erscheinen zu lassen. Es werden zwar zahlreiche Einwendungen erhoben. Diese sind aber grösstenteils bereits im vorinstanzlichen Verfahren vorgebracht und im angefochtenen Entscheid überzeugend entkräftet worden. Damit setzt sich der Beschwerdeführer kaum auseinander, sondern beschränkt sich im Wesentlichen darauf, erneut seine Sicht der Dinge darzulegen. Unbehelflich ist sodann namentlich seine Behauptung, er habe vor Erstattung der Strafanzeige vergeblich das Gespräch mit den beiden Vorgesetzten gesucht; die diesbezüglichen vorinstanzlichen Feststellungen seien falsch. Wie das Bundesverwaltungsgericht aufgezeigt hat, hätte sich der Beschwerdeführer vor Erstattung der Strafanzeige diesfalls an den dafür zuständigen Präsidenten der Beschwerdegegnerin oder aber an eine andere geeignete interne Stelle wie beispielsweise den Rechtsdienst oder die Ombudsstelle wenden müssen, was er unbestrittenermassen unterlassen hat. Insofern ist die vor Bundesgericht eingereichte SMS-Kommunikation vom 22. Mai 2015 nicht relevant, weshalb nicht weiter auf die Frage einzugehen ist, ob es sich dabei um ein unzulässiges Novum handle.</w:t>
      </w:r>
    </w:p>
    <w:p>
      <w:r>
        <w:rPr>
          <w:b/>
        </w:rPr>
        <w:t>E. 4.3</w:t>
      </w:r>
    </w:p>
    <w:p>
      <w:r>
        <w:t>Zusammenfassend hat die Vorinstanz kein Bundesrecht verletzt, indem sie die Kündigung als sachlich gerechtfertigt, unter Einhaltung der formellen Voraussetzungen (Mahnung, Gewährung des rechtlichen Gehörs) erfolgt und nicht missbräuchlich im Sinne von Art. 34c Abs. 1 lit. b BPG bestätigt hat. Beim angefochtenen Entscheid hat es mithin sein Bewenden.</w:t>
      </w:r>
    </w:p>
    <w:p>
      <w:r>
        <w:rPr>
          <w:b/>
        </w:rPr>
        <w:t>E. 5</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