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559/2012 vom 7. September 2012</w:t>
      </w:r>
    </w:p>
    <w:p>
      <w:r>
        <w:t>Bundesgericht, 2012-09-07, DE</w:t>
      </w:r>
    </w:p>
    <w:p>
      <w:r>
        <w:rPr>
          <w:b/>
        </w:rPr>
        <w:t xml:space="preserve">Quelle: </w:t>
      </w:r>
      <w:r>
        <w:t>https://mcp.opencaselaw.ch/entscheid/bger_8C_559_2012</w:t>
      </w:r>
    </w:p>
    <w:p>
      <w:r>
        <w:t>FR: TF 8C 559/2012 du 7 septembre 2012</w:t>
      </w:r>
    </w:p>
    <w:p>
      <w:r>
        <w:t>IT: TF 8C 559/2012 del 7 settembre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w:t>
      </w:r>
    </w:p>
    <w:p>
      <w:r>
        <w:t>Das kantonale Gericht hat die Sache unter Aufhebung des Einspracheentscheides zu weiteren medizinischen Abklärungen (Einholung eines Obergutachtens) an die Beschwerdeführerin zurückgewiesen. Praxisgemäss bewirkt ein solcher Rückweisungsentscheid in der Regel keinen nicht wieder gutzumachenden Nachteil im Sinne von Art. 93 Abs. 1 lit. a BGG (vgl. statt vieler z.B. Urteile 8C_509/2012 vom 25. Juli 2012 und 8C_502/2012 vom 10. August 2012 mit Hinweisen); er führt in der Regel lediglich zu einer (dieses Kriterium nicht erfüllenden) Verlängerung des Verfahrens. Anderes gilt nur, wenn durch materiellrechtliche Anordnungen im Rückweisungsentscheid der Beurteilungsspielraum der unteren Instanz wesentlich eingeschränkt und sie gezwungen wird, eine ihres Erachtens rechtswidrige neue Verfügung zu erlassen (vgl. BGE 133 V 477 E. 5.2.4 S. 484 und Urteil 8C_362/2007 vom 16. Januar 2008, E. 2.2). So verhält es sich hier - entgegen der Meinung der Beschwerdeführerin - nicht, denn die AXA hat vorliegend nach Einholung eines medizinischen Gutachtens über die Kausalität der geklagten Beschwerden und deren Behandlungsnotwendigkeit bzw. -möglichkeit zu befinden und hernach über den Leistungsanspruch der Beschwerdegegnerin neu zu entscheiden, ohne dass der angefochtene Entscheid präjudizierende Wirkung entfaltet ( BGE 133 V 477 E. 5.2.4 S. 484). Die Eintretensvoraussetzung des Art. 93 Abs. 1 lit. a BGG ist damit nicht erfüllt. Dies gilt nach ständiger Rechtsprechung - im Gegensatz zu dem, was die Beschwerdeführerin anzunehmen scheint -,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vermöchte dem Nachteil an sich unnötiger Abklärungen nicht rechtlichen Charakter zu geben (statt vieler: Urteile 8C_78/2008 vom 9. Juli 2008, E. 2, und 9C_301/2007 vom 28. September 2007, E. 2.2). Zudem kann in der - nach Auffassung der Beschwerdeführerin ungerechtfertigten - Rückweisung der Sache an die Verwaltung für die Beschwerdeführerin kein nicht wieder gutzumachender Nachteil im Sinne von Art. 93 Abs. 1 lit. a BGG erblickt werden, wie das Bundesgericht nunmehr in dem zur Publikation vorgesehenen Urteil 8C_760/2011 vom 26. Januar 2012 (vgl. SVR 2012 UV Nr. 19 S. 71) entschieden hat (Beantwortung der in BGE 137 V 210 E. 4.4.1.4 S. 265 offengelassenen Frage). Von einer in diesem Zusammenhang gegebenen Rechtsverweigerung bzw. -verzögerung kann - im Gegensatz zu den Vorbringen der Beschwerdeführerin - offensichtlich nicht die Rede sein.</w:t>
      </w:r>
    </w:p>
    <w:p>
      <w:r>
        <w:rPr>
          <w:b/>
        </w:rPr>
        <w:t>E. 3</w:t>
      </w:r>
    </w:p>
    <w:p>
      <w:r>
        <w:t>Eine Gutheissung der Beschwerde würde zwar einen sofortigen Endentscheid herbeiführen (vgl. Art. 93 Abs. 1 lit. b BGG ); mit der Aufhebung kantonaler Rückweisungsentscheide, welche einzig eine ergänzende Sachverhaltsabklärung anordnen, kann indessen praxisgemäss kein nach der Rechtsprechung bedeutender Aufwand an Zeit oder Kosten für ein weitläufiges Beweisverfahren im Sinne der genannten Bestimmung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(dazu statt vieler nunmehr Urteile 8C_400/2012 vom 28. Juni 2012, 8C_302/2009 vom 24. April 2009 und 8C_1038/2008 vom 20. April 2009 E. 2.2 mit Hinweisen). Auch vorliegend ist - entgegen den Vorbringen der Beschwerdeführerin - nicht ersichtlich, dass die Voraussetzungen von Art. 93 Abs. 1 lit. b BGG erfüllt wären, weshalb auf die Beschwerde nicht einzutreten ist.</w:t>
      </w:r>
    </w:p>
    <w:p>
      <w:r>
        <w:rPr>
          <w:b/>
        </w:rPr>
        <w:t>E. 4</w:t>
      </w:r>
    </w:p>
    <w:p>
      <w:r>
        <w:t>Die - insgesamt offensichtlich unzulässige - Beschwerde ist im vereinfachten Verfahren ( Art. 108 Abs. 1 lit. a BGG ) ohne Schriftenwechsel ( Art. 102 Abs. 1 BGG ) zu erledigen. Dem Verfahrensausgang entsprechend sind die Gerichtskosten der Beschwerdeführerin aufzuerlegen ( Art. 66 Abs. 1 BGG ). Mit diesem Nichteintretensentscheid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