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558/2012 vom 20. November 2012</w:t>
      </w:r>
    </w:p>
    <w:p>
      <w:r>
        <w:t>Bundesgericht, 2012-11-20, DE</w:t>
      </w:r>
    </w:p>
    <w:p>
      <w:r>
        <w:rPr>
          <w:b/>
        </w:rPr>
        <w:t xml:space="preserve">Quelle: </w:t>
      </w:r>
      <w:r>
        <w:t>https://mcp.opencaselaw.ch/entscheid/bger_8C_558_2012</w:t>
      </w:r>
    </w:p>
    <w:p>
      <w:r>
        <w:t>FR: TF 8C 558/2012 du 20 novembre 2012</w:t>
      </w:r>
    </w:p>
    <w:p>
      <w:r>
        <w:t>IT: TF 8C 558/2012 del 20 novembre 2012</w:t>
      </w:r>
    </w:p>
    <w:p>
      <w:pPr>
        <w:pStyle w:val="Heading2"/>
      </w:pPr>
      <w:r>
        <w:t>Regeste</w:t>
      </w:r>
    </w:p>
    <w:p>
      <w:r>
        <w:t>Invalidenversicherung (berufliche Massnahmen)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die Pflichten der versicherten Person ( Art. 7 IVG ; Urteil 9C_842/2010 vom 26. Januar 2011 E. 2 mit Hinweisen; vgl. auch SVR 2007 IV Nr. 34 S. 120 E. 3, I 744/06), die zumutbaren Massnahmen ( Art. 7a IVG ) und die möglichen Sanktionen ( Art. 7b IVG ) sowie das Mahn- und Bedenkzeitverfahren ( Art. 21 Abs. 4 ATSG ) zutreffend dargelegt. Darauf wird verwiesen.</w:t>
      </w:r>
    </w:p>
    <w:p>
      <w:r>
        <w:rPr>
          <w:b/>
        </w:rPr>
        <w:t>E. 3</w:t>
      </w:r>
    </w:p>
    <w:p>
      <w:r>
        <w:t>Das kantonale Gericht hat gestützt auf die Berichte des Dr. med. U.________, Facharzt für Allgemeine sowie Komplementäre Medizin, vom 18. Dezember 2008 und 17. Januar 2011, der Klinik X.________ AG, vom 11. November 2010 und vom 2. Februar 2011, des Dr. med. B.________, Facharzt für Psychiatrie und Psychotherapie sowie für Neurologie, vom 5. Mai 2010 und 20. Mai 2011 sowie dem Gutachten des Instituts Y.________, vom 20. Februar 2007 festgestellt, dass dem Versicherten mittelfristig eine Reduktion der Medikamente zumutbar ist und die beruflichen Massnahmen infolge der durch die hohe Medikamenteneinnahme beeinträchtigten Arbeitsfähigkeit und damit fehlenden Abklärungsfähigkeit bis zu deren Wiederherstellung zu Recht abgeschlossen wurden. Sie hat dabei festgehalten, angesichts der langjährigen Schmerzmitteleinnahme sei ein kompletter Entzug kurzfristig unzumutbar. Ein vollständiger Entzug sei aber für die Durchführung von beruflichen Massnahmen auch nicht nötig, sondern es reiche aus, wenn die Arbeitsfähigkeit nicht mehr infolge hoher Medikamenteneinnahme beeinträchtigt sei; dafür seien nicht nur die Opiate zu berücksichtigen, sondern es sei die Gesamtmedikation in Betracht zu ziehen. Daran vermögen auch die Einwände des Versicherten nichts zu ändern. Einerseits hat die Vorinstanz den Abbruch der beruflichen Massnahmen nicht geschützt, weil dem Versicherten eine schuldhafte Nichtbefolgung seiner Mitwirkungspflichten vorgeworfen worden wäre, sondern weil eine aussagekräftige berufliche Abklärung in der BEFAS infolge der durch die hohe Medikamenteneinnahme beeinträchtigten Arbeitsfähigkeit und damit fehlender Abklärungsfähigkeit nicht möglich war. Andererseits hat die Vorinstanz nicht verkannt, dass nach dem stationären Aufenthalt in der Klinik X.________ die Dosis des MST auf das Niveau gemäss Gutachten des Instituts Y.________ vom 20. Februar 2007, welches damals auf eine zumutbare volle Arbeitsfähigkeit in einer angepassten leichten Tätigkeit schloss, reduziert worden war; sie hat aber zu Recht mitberücksichtigt, dass der Versicherte zusätzlich zu den bisherigen, nunmehr reduzierten Schmerzmitteln neu die Medikamente Novalgin und Temesta einnahm. Ebenfalls richtig ist die vorinstanzliche Feststellung, es sei nicht notwendig, dass der Versicherte einen vollständigen Entzug erreiche, sondern es sei lediglich eine Reduktion der Schmerzmitteleinnahme auf ein Niveau anzustreben, bei welchem seine Leistungsfähigkeit nicht mehr aus diesem Grund beeinträchtigt und er in der Lage sei, den Eingliederungsmassnahmen zu folgen. Insofern hat die Vorinstanz auch zu Recht nicht allein die Einnahme von Opiaten, sondern die Gesamtmedikation als massgeblich erachtet. Nach dem Gesagten ist weder eine offensichtlich unrichtige, sprich willkürliche Sachverhaltsfeststellung noch eine Verletzung von Bundesrecht gegeben.</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