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558/2010 vom 27. Dezember 2010</w:t>
      </w:r>
    </w:p>
    <w:p>
      <w:r>
        <w:t>Bundesgericht, 2010-12-27, DE</w:t>
      </w:r>
    </w:p>
    <w:p>
      <w:r>
        <w:rPr>
          <w:b/>
        </w:rPr>
        <w:t xml:space="preserve">Quelle: </w:t>
      </w:r>
      <w:r>
        <w:t>https://mcp.opencaselaw.ch/entscheid/bger_8C_558_2010</w:t>
      </w:r>
    </w:p>
    <w:p>
      <w:r>
        <w:t>FR: TF 8C 558/2010 du 27 décembre 2010</w:t>
      </w:r>
    </w:p>
    <w:p>
      <w:r>
        <w:t>IT: TF 8C 558/2010 del 27 dicembre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1.2</w:t>
      </w:r>
    </w:p>
    <w:p>
      <w:r>
        <w:t>Die Beachtung des Untersuchungsgrundsatzes und der Beweiswürdigungsregeln nach Art. 61 lit. c ATSG ist eine Rechtsfrage ( BGE 132 V 393 E. 3.2 S. 397 und E. 4 S. 399). Die konkrete wie auch die antizipierte Beweiswürdigung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oder wenn eine entscheidwesentliche Tatsache auf unvollständiger Beweisgrundlage - beispielsweise ohne Beizug des notwendigen Fachwissens unabhängiger Experten - beantwortet wird (Urteile 8C_391/2009 vom 21. Oktober 2009 E. 1 und 9C_410/2008 vom 8. September 2008 E. 3.3.1 mit Hinweisen).</w:t>
      </w:r>
    </w:p>
    <w:p>
      <w:r>
        <w:rPr>
          <w:b/>
        </w:rPr>
        <w:t>E. 2</w:t>
      </w:r>
    </w:p>
    <w:p>
      <w:r>
        <w:t>Streitgegenstand bildet die Frage, ob sich die tatsächlichen Verhältnisse seit der letzten rechtskräftigen Rentenablehnung (Verfügung vom 20. März 2008) bis zur verfügungsweisen Neuprüfung vom 5. Ok-tober 2009 in revisionsrechtlich erheblicher Weise verändert haben.</w:t>
      </w:r>
    </w:p>
    <w:p>
      <w:r>
        <w:rPr>
          <w:b/>
        </w:rPr>
        <w:t>E. 2.1.1</w:t>
      </w:r>
    </w:p>
    <w:p>
      <w:r>
        <w:t>Das kantonale Gericht hat die Bestimmungen und Grundsätze über die Begriffe der Arbeits- und Erwerbsunfähigkeit ( Art. 6 Satz 2 und Art. 7 ATSG ) und Invalidität ( Art. 8 Abs. 1 ATSG ; Art. 4 IVG ), die Voraussetzungen und den Umfang des Rentenanspruchs ( Art. 28 Abs. 1 IVG ), die Bemessung des Invaliditätsgrades bei erwerbstätigen Versicherten nach der Einkommensvergleichsmethode ( Art. 16 ATSG in Verbindung mit Art. 28 Abs. 2 IVG ; BGE 130 V 343 E. 3.4.2 S. 349), die Aufgabe des Arztes oder der Ärztin im Rahmen der Invaliditätsbemessung ( BGE 125 V 256 E. 4 S. 261) sowie den Beweiswert und die Würdigung ärztlicher Berichte und Gutachten ( BGE 125 V 351 E. 3a S. 352) zutreffend dargelegt. Darauf wird verwiesen.</w:t>
      </w:r>
    </w:p>
    <w:p>
      <w:r>
        <w:rPr>
          <w:b/>
        </w:rPr>
        <w:t>E. 2.1.2</w:t>
      </w:r>
    </w:p>
    <w:p>
      <w:r>
        <w:t>Zu wiederholen ist, dass gemäss Art. 17 Abs. 1 ATSG die Rente von Amtes wegen oder auf Gesuch hin für die Zukunft entsprechend erhöht, herabgesetzt oder aufgehoben wird, wenn sich der Invaliditätsgrad einer Rentenbezügerin oder eines Rentenbezügers erheblich ändert. Anlass zur Rentenrevision gibt jede wesentliche Änderung in den tatsächlichen Verhältnissen, die geeignet ist, den Invaliditätsgrad und damit den Rentenanspruch zu beeinflussen. Eine bloss unterschiedliche Beurteilung eines im Wesentlichen gleich gebliebenen Sachverhalts stellt allerdings keine revisionsbegründende Tatsachenänderung dar ( BGE 112 V 371 E. 2b S. 372). Praxisgemäss ist die Invalidenrente aber auch dann revidierbar, wenn sich die erwerblichen Auswirkungen des an sich gleich gebliebenen Gesundheitszustandes erheblich verändert haben ( BGE 133 V 545 E. 6.1 S. 546, 130 V 343 E. 3.5 S. 349 f. mit Hinweisen). Diese Grundsätze gelten sinngemäss auch im Neuanmeldeverfahren nach Art. 87 Abs. 4 IVV ( BGE 117 V 198 ).</w:t>
      </w:r>
    </w:p>
    <w:p>
      <w:r>
        <w:rPr>
          <w:b/>
        </w:rPr>
        <w:t>E. 2.2.1</w:t>
      </w:r>
    </w:p>
    <w:p>
      <w:r>
        <w:t>Soweit der Beschwerdeführer das Gutachten des Instituts I.________ vom 27. Juni 2007, welches der unangefochten rechts-kräftig gewordenen ersten Rentenablehnung (Verfügung vom 20. März 2008) zugrunde lag, in Frage zu stellen scheint, ist auf seine Vorbringen nicht näher einzugehen. Er übersieht, dass er damit den Rückkommensgrund der Wiedererwägung geltend macht, auf dessen Beurteilung kein Rechtsanspruch besteht ( Art. 53 Abs. 2 ATSG ; MEYER, Rechtsprechung des Bundesgerichts zum IVG, Zürich/Basel/Genf 2010, S. 386 f. mit Hinweisen auf die Rechtsprechung).</w:t>
      </w:r>
    </w:p>
    <w:p>
      <w:r>
        <w:rPr>
          <w:b/>
        </w:rPr>
        <w:t>E. 2.2.2</w:t>
      </w:r>
    </w:p>
    <w:p>
      <w:r>
        <w:t>Die Vorinstanz hat zunächst zutreffend erwogen, dass zur Beurteilung der streitigen Frage, nicht auf die Auskünfte des den Versicherten behandelnden Psychiaters pract. med. M.________ abgestellt werden kann, nachdem dieser entgegen der fachärztlichen Beurteilung des Instituts I.________ im Gutachten vom 27. Juni 2007 sowohl davor wie danach von einem schwerwiegenden psychischen Leiden mit vollständiger Arbeitsunfähigkeit bei gleichgebliebenen Befunden ausging. Den Auskünften der den Versicherten nach Erlass der Verfügung vom 20. März 2008 therapierenden Ärzte der Dienste X.________ ist zu entnehmen, dass anstelle der im Gutachten des Instituts I.________ diagnostizierten rezidivierenden depressiven Störung (gegenwärtig leichte Episode [ICD-10: F33.0]) mit 20%-iger Arbeitsunfähigkeit, nunmehr eine mittelgradige depressive Episode mit somatischem Syndrom (ICD-10: F32.11) sowie ein Verdacht auf eine anhaltende somatoforme Schmerzstörung (ICD-10: F45.4) bestand. Dieser Gesundheitsschaden habe eine Arbeitsunfähigkeit von 80 % zur Folge. Die Vorinstanz hat dazu festgehalten, wie schon aus dem Begriff hervorgehe, schliesse eine depressive Episode einen dauerhaften Gesundheitsschaden aus. Zudem sei nicht bei jeder kleinsten Veränderung des psychischen Gesundheitszustandes eine psychiatrische Abklärung vorzunehmen und die Arbeitsfähigkeit neu zu prüfen. Gegen das Vorliegen einer dauerhaften Verschlechterung des Gesundheitszustands spreche zudem, dass vor als auch nach der Begutachtung durch die Ärzte des Instituts I.________ die Therapiefrequenz gleich geblieben sei. Schliesslich sprächen die Psychiater der Dienste X.________ lediglich von einem Verdacht auf eine somatoforme Schmerzstörung, weshalb insgesamt von der Überwindbarkeit der geltend gemachten psychischen Leiden auszugehen sei. Diese Beweiswürdigung ist nicht zu beanstanden. Der Beschwerdeführer übersieht, dass eine Sachverhaltsfeststellung nicht schon dann offensichtlich unrichtig ist, wenn die gegenteilige Ansicht ebenfalls vertretbar oder bei freier Prüfung gar vorzuziehen wäre, sondern erst, wenn sie zur tatsächlichen Situation in klarem Widerspruch steht, auf einem offenkundigen Versehen beruht oder sich sachlich in keiner Weise rechtfertigen lässt ( BGE 133 III 393 E. 7.1 S. 398). Die vorinstanzlichen Erwägungen können zudem mit dem Hinweis auf die Rechtsprechung ergänzt werden, wonach die psychiatrische Exploraton von der Natur der Sache her nicht ermessensfrei erfolgen kann und daher und der begutachtenden Person deshalb praktisch ein gewisser Spielraum, innerhalb dessen verschiedene medizinische Interpretationen möglich, zulässig und zu respektieren sind, zu gewähren ist, sofern dabei lege artis vorgegangen worden ist. Daher und unter Beachtung der Divergenz von medizinischem Behandlungs- und Abklärungsauftrag ( BGE 124 I 170 E. 4 S. 175; Urteil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(Urteile 8C_694/2008 E. 5.1 und I 51/06 vom 19. September 2006 E. 3.1.2). Solche liegen hier nicht vor. Zum einen legen die Ärzte der Dienste X.________ nicht dar, weshalb von den Ergebnissen des Gutachtens des Instituts I.________, das sie nicht einmal erwähnen, abzuweichen ist. Zum anderen genügt der neu diagnostizierte Verdacht auf eine anhaltende somatoforme Schmerzstörung nicht zur Annahme, dass ein komorbider Gesundheitsschaden vorliegt, der sich invalidisierend auswirken könnte (vgl. BGE 130 V 352 E. 2.2.3 S. 354 f.). Insgesamt ist in Bestätigung des vorinstanzlichen Entscheids, auf welchen im Übrigen verwiesen wird, festzuhalten, dass sich der Gesundheitszustand im massgeblichen Vergleichszeitraum nicht in revisionsrechtlich erheblicher Weise verschlechtert hat. Von den beantragten Weiterungen ist abzusehen.</w:t>
      </w:r>
    </w:p>
    <w:p>
      <w:r>
        <w:rPr>
          <w:b/>
        </w:rPr>
        <w:t>E. 3</w:t>
      </w:r>
    </w:p>
    <w:p>
      <w:r>
        <w:t>Die Voraussetzungen für die Bewilligung der unentgeltlichen Prozessführung und Verbeiständung im bundesgerichtlichen Verfahren ( Art. 64 Abs. 1 und 2 BGG ) sind erfüllt, weshalb dem entsprechenden Gesuch in der Beschwerde stattzugeben ist. Der Beschwerdeführer ist indessen auf Art. 64 Abs. 4 BGG hinzuweisen, wonach die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