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557/2024 vom 25. November 2024</w:t>
      </w:r>
    </w:p>
    <w:p>
      <w:r>
        <w:t>Bundesgericht, 2024-11-25, DE</w:t>
      </w:r>
    </w:p>
    <w:p>
      <w:r>
        <w:rPr>
          <w:b/>
        </w:rPr>
        <w:t xml:space="preserve">Quelle: </w:t>
      </w:r>
      <w:r>
        <w:t>https://mcp.opencaselaw.ch/entscheid/bger_8C_557_2024</w:t>
      </w:r>
    </w:p>
    <w:p>
      <w:r>
        <w:t>FR: TF 8C 557/2024 du 25 novembre 2024</w:t>
      </w:r>
    </w:p>
    <w:p>
      <w:r>
        <w:t>IT: TF 8C 557/2024 del 25 novembre 2024</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Rechtsschriften, die auf querulatorischer oder rechtsmissbräuchlicher Prozessführung beruhen, sind nach Art. 42 Abs. 7 BGG unzulässig.</w:t>
      </w:r>
    </w:p>
    <w:p>
      <w:r>
        <w:rPr>
          <w:b/>
        </w:rPr>
        <w:t>E. 2</w:t>
      </w:r>
    </w:p>
    <w:p>
      <w:r>
        <w:t>Die vorliegende Beschwerde wird den formellen Anforderungen offensichtlich nicht gerecht: Soweit die Beschwerdeführerin eine Wiedererwägung der Verfügung der Beschwerdegegnerin vom 30. Juli 2021 anstrebt, ist ihr darin bereits auf den frühestmöglichen Zeitpunkt hin - sechs Monate nach Erhalt der (erneuten) IV-Anmeldung ( Art. 29 Abs. 1 IVG ) vom März 2019 - ab September 2019 eine ganze Invalidenrente zugesprochen worden. Soweit überdies frühere negative Leistungsentscheide der Beschwerdegegnerin in Frage gestellt werden, hat das kantonale Gericht einlässlich ausgeführt, weshalb diese gestützt auf Art. 53 Abs. 2 ATSG (Wiedererwägung) keiner gerichtlich durchsetzbaren Neuüberprüfung unterliegen. Warum dem nicht so sein sollte, legt die Beschwerdeführerin nicht dar. Hingegen beruft sie sich auf Art. 53 Abs. 1 ATSG , wonach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(prozessuale Revision). Eine unterschiedliche Wertung bereits bekannter Tatsachen, wie sie vom Rechtsvertreter im psychotherapeutischen Gutachten vom 12. April 2019 für die fragliche Zeit selber vorgenommen und vor Vorinstanz wiederholt wurde, beschlägt indessen - wie vom kantonalen Gericht dargetan - allein Art. 53 Abs. 2 ATSG . Dennoch ohne Weiterungen auf einer Neuüberprüfung des bereits rechtskräftig Entschiedenen zu beharren, lässt die Prozessführung als querulatorisch erscheinen. Damit ist den Anforderungen an eine sachbezogene Begründung nicht Genüge getan.</w:t>
      </w:r>
    </w:p>
    <w:p>
      <w:r>
        <w:rPr>
          <w:b/>
        </w:rPr>
        <w:t>E. 3</w:t>
      </w:r>
    </w:p>
    <w:p>
      <w:r>
        <w:t>Da dieser Begründungsmangel offensichtlich ist, führt dies zu einem Nichteintreten auf das Rechtsmittel im vereinfachten Verfahren nach Art. 108 Abs. 1 lit. a und b BGG .</w:t>
      </w:r>
    </w:p>
    <w:p>
      <w:r>
        <w:rPr>
          <w:b/>
        </w:rPr>
        <w:t>E. 4</w:t>
      </w:r>
    </w:p>
    <w:p>
      <w:r>
        <w:t>Die Gerichtskosten werden ausgangsgemäss der Beschwerdeführerin und ihrem Vertreter unter solidarischer Haftung auferlegt ( Art. 66 Abs. 1 und 3 BGG ; zur solidarischen Kostenauflage siehe Urteil 8F_3/2023 vom 7. Juni 2023 mit Hinweisen, sowie Urteil 8F_1/2022 vom 4.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