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8C_557/2018 vom 18. Dezember 2018</w:t>
      </w:r>
    </w:p>
    <w:p>
      <w:r>
        <w:t>Bundesgericht, 2018-12-18, DE</w:t>
      </w:r>
    </w:p>
    <w:p>
      <w:r>
        <w:rPr>
          <w:b/>
        </w:rPr>
        <w:t xml:space="preserve">Quelle: </w:t>
      </w:r>
      <w:r>
        <w:t>https://mcp.opencaselaw.ch/entscheid/bger_8C_557_2018</w:t>
      </w:r>
    </w:p>
    <w:p>
      <w:r>
        <w:t>FR: TF 8C_557/2018 du 18 décembre 2018</w:t>
      </w:r>
    </w:p>
    <w:p>
      <w:r>
        <w:t>IT: TF 8C_557/2018 del 18 dicembre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der konkreten Beweiswürdigung geht es um Sachverhaltsfragen (Urteil 8C_590/2015 vom 24. November 2015 E. 1, nicht publ. in BGE 141 V 585 ).</w:t>
      </w:r>
    </w:p>
    <w:p>
      <w:r>
        <w:rPr>
          <w:b/>
        </w:rPr>
        <w:t>E. 2</w:t>
      </w:r>
    </w:p>
    <w:p>
      <w:r>
        <w:t>Streitig ist, ob die Vorinstanz Bundesrecht verletzte, indem sie die verfügte revisionsweise Rentenaufhebung widerrief und einen Anspruch auf eine Viertelsrente bejahte. Die Beschwerde der IV-Stelle richtet sich einzig gegen den Abzug vom Tabellenlohn nach BGE 126 V 75 .</w:t>
      </w:r>
    </w:p>
    <w:p>
      <w:r>
        <w:rPr>
          <w:b/>
        </w:rPr>
        <w:t>E. 3.1</w:t>
      </w:r>
    </w:p>
    <w:p>
      <w:r>
        <w:t>Auf der Grundlage des als beweiskräftig angesehenen Gutachtens der Frau med. pract. E.________ vom 21. Mai 2013 erachtete die Vorinstanz die Versicherte aufgrund der mit Wirkung auf die Arbeitsfähigkeit diagnostizierten rezidivierenden depressiven Störung (im Gutachtenszeitpunkt leichte bis allenfalls zeitweise mittelgradige Episode) für leidensadaptierte Tätigkeiten als zu 65 % arbeitsfähig.</w:t>
      </w:r>
    </w:p>
    <w:p>
      <w:r>
        <w:rPr>
          <w:b/>
        </w:rPr>
        <w:t>E. 3.2.1</w:t>
      </w:r>
    </w:p>
    <w:p>
      <w:r>
        <w:t>In Bezug auf die erwerblichen Auswirkungen stellte die Vorinstanz beim Einkommensvergleich ( Art. 16 ATSG ) sowohl beim Validen- als auch beim Invalideneinkommen auf den Durchschnittslohn (Zentralwert) für Frauen, (Anforderungsniveau 4) der vom Bundesamt für Statistik herausgegebenen Schweizerischen Lohnstrukturerhebung [LSE] 2006, Tabelle TA1, Sektor 2 (Produktion) von Fr. 4'067.- pro Monat ab. Angepasst an die betriebsübliche durchschnittliche Wochenarbeitszeit von 41,7 Stunden und die Nominallohnentwicklung von 1,5 % ergab dies monatlich Fr. 4'239.85 oder jährlich Fr. 50'878.20 für das Jahr 2007. Dies ist unbestritten.</w:t>
      </w:r>
    </w:p>
    <w:p>
      <w:r>
        <w:rPr>
          <w:b/>
        </w:rPr>
        <w:t>E. 3.2.2</w:t>
      </w:r>
    </w:p>
    <w:p>
      <w:r>
        <w:t>Weiter nahm das kantonale Gericht einen Abzug vom Tabellenlohn von 15 % vor, weil die Beschwerdegegnerin selbst bei einfachen Tätigkeiten insofern eingeschränkt sei, als nur solche in Frage kämen, die keine hohen Anforderungen an die Stress- und Frustrationstoleranz sowie die emotionale Belastbarkeit stellten. Daraus resultiere ein Invaliditätsgrad von 45 %, was den Anspruch auf eine Viertelsrente begründe.</w:t>
      </w:r>
    </w:p>
    <w:p>
      <w:r>
        <w:rPr>
          <w:b/>
        </w:rPr>
        <w:t>E. 3.3</w:t>
      </w:r>
    </w:p>
    <w:p>
      <w:r>
        <w:t>Sind Validen- und Invalideneinkommen ausgehend vom gleichen Tabellenlohn zu berechnen, entspricht der Invaliditätsgrad dem Grad der Arbeitsunfähigkeit unter Berücksichtigung des Abzuges vom Tabellenlohn gemäss BGE 126 V 75 (vgl. SVR 2017 IV Nr. 71 S. 219, 9C_675/2016 E. 3.2.1).</w:t>
      </w:r>
    </w:p>
    <w:p>
      <w:r>
        <w:rPr>
          <w:b/>
        </w:rPr>
        <w:t>E. 3.4</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Urteil 8C_114/2017 vom 11. Juli 2017 E. 3.1). Der Abzug soll aber nicht automatisch erfolgen. Er ist unter Würdigung der Umstände im Einzelfall nach pflichtgemässem Ermessen gesamthaft zu schätzen und darf 25 % nicht übersteigen (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 Ob ein (behinderungsbedingt oder anderweitig begründeter) Abzug vom Tabellenlohn vorzunehmen ist, stellt eine vom Bundesgericht frei überprüfbare Rechtsfrage dar (Urteil 8C_652/2008 vom 8. Mai 2009 E. 4, nicht publ. in: BGE 135 V 297 ). Dagegen ist die Höhe des (im konkreten Fall grundsätzlich angezeigten) Abzugs eine Ermessensfrage und daher letztinstanzlich nur bei Ermessensüberschreitung, -missbrauch oder -unterschreitung korrigierbar ( BGE 137 V 71 E. 5.1 S. 72 f.; 132 V 393 E. 3.3 S. 399; Urteil 8C_477/2016 vom 23. November 2016 E. 4.1).</w:t>
      </w:r>
    </w:p>
    <w:p>
      <w:r>
        <w:rPr>
          <w:b/>
        </w:rPr>
        <w:t>E. 3.5</w:t>
      </w:r>
    </w:p>
    <w:p>
      <w:r>
        <w:t>Was die IV-Stelle gegen die vorinstanzliche Invaliditätsbemessung einwendet, ist stichhaltig. Frau med. pract. E.________ gab in ihrer Expertise vom 21. Mai 2013 an, bei der Versicherten bestünden aktuell leichte bis allenfalls zeitweise mittelgradige Einschränkungen der Arbeitsfähigkeit in Form einer verminderten Stress- und Frustrationstoleranz sowie einer ebenfalls verminderten emotionalen Belastbarkeit mit einer etwas eingeschränkten Konfliktfähigkeit. Sämtliche Tätigkeiten, die keine hohen Anforderungen an die Stress- und Frustrationstoleranz und keine hohen Anforderungen an die emotionale Belastbarkeit stellten, seien leidensangepasst, worunter auch die angestammte Tätigkeit als Produktionsmitarbeiterin falle. Die Gutachterin begründete die verminderte Arbeitsfähigkeit einzig mit diesen Limitierungen. Damit ist weder das Anforderungsprofil hinsichtlich der zumutbaren Tätigkeiten erheblich eingeschränkt noch liegen zusätzliche zu berücksichtigende Faktoren vor. Daher rechtfertigt sich unter diesen Umständen klarerweise kein Abzug vom Tabellenlohn, würde dies doch auf eine doppelte Berücksichtigung der bereits in der medizinischen Beurteilung der Arbeitsfähigkeit eingeflossenen gesundheitlichen Einschränkungen hinauslaufen, weshalb der vorinstanzliche Entscheid in diesem Punkt bundesrechtswidrig ist. Die Beschwerde ist begründet.</w:t>
      </w:r>
    </w:p>
    <w:p>
      <w:r>
        <w:rPr>
          <w:b/>
        </w:rPr>
        <w:t>E. 4</w:t>
      </w:r>
    </w:p>
    <w:p>
      <w:r>
        <w:t>Ausgangsgemäss wird die Beschwerdegegnerin kostenpflichtig ( Art. 66 Abs. 1 BGG ). Ihrem Gesuch um unentgeltliche Rechtspflege kann entsprochen werden ( Art. 64 Abs. 1 und 2 BGG ). Es wird indessen ausdrücklich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