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8C_557/2017 vom 4. Dezember 2017</w:t>
      </w:r>
    </w:p>
    <w:p>
      <w:r>
        <w:t>Bundesgericht, 2017-12-04, DE</w:t>
      </w:r>
    </w:p>
    <w:p>
      <w:r>
        <w:rPr>
          <w:b/>
        </w:rPr>
        <w:t xml:space="preserve">Quelle: </w:t>
      </w:r>
      <w:r>
        <w:t>https://mcp.opencaselaw.ch/entscheid/bger_8C_557_2017</w:t>
      </w:r>
    </w:p>
    <w:p>
      <w:r>
        <w:t>FR: TF 8C_557/2017 du 4 décembre 2017</w:t>
      </w:r>
    </w:p>
    <w:p>
      <w:r>
        <w:t>IT: TF 8C_557/2017 del 4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verletzte, als sie die Rentenaufhebung auf Ende des der Zustellung der Verfügung vom 5. Dezember 2016 folgenden Monats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Ändert sich der Invaliditätsgrad eines Rentenbezügers erheblich, so wird gemäss Art. 17 ATSG die Rente von Amtes wegen oder auf Gesuch hin für die Zukunft entsprechend erhöht, herabgesetzt oder aufgehoben. Die Frage der wesentlichen Änderung in den tatsächlichen Verhältnissen beurteilt sich im vorliegenden Fall unbestrittenermassen durch Vergleich des Sachverhalts, wie er im Zeitpunkt der ursprünglichen Rentenverfügung bestanden hat, mit demjenigen zur Zeit der streitigen Revisionsverfügung ( BGE 134 V 131 E. 3 S. 132 f.).</w:t>
      </w:r>
    </w:p>
    <w:p>
      <w:r>
        <w:t>Eine Rentenherabsetzung oder Aufhebung im Sinne von Art. 17 Abs. 1 ATSG setzt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w:t>
      </w:r>
    </w:p>
    <w:p>
      <w:r>
        <w:rPr>
          <w:b/>
        </w:rPr>
        <w:t>E. 4.1</w:t>
      </w:r>
    </w:p>
    <w:p>
      <w:r>
        <w:t>Das kantonale Gericht hat in umfassender Würdigung der medizinischen Akten für das Bundesgericht grundsätzlich verbindlich festgestellt, dass sich der Gesundheitszustand der Versicherten seit der ursprünglichen Rentenzusprache erheblich verbessert hat und sie nunmehr in der Lage ist, einer angepassten Tätigkeit zu 100 % nachzugehen. Dabei hat es erwogen, die ursprüngliche Rentenzusprache habe sich im Wesentlichen auf das Gutachten des Dr. med. C.________, Facharzt für Psychiatrie und Psychotherapie an der Klinik D.________, vom 22. Mai 2002 gestützt. Die Rentenaufhebung rechtfertige sich demgegenüber aufgrund des Gutachtens der PMEDA vom 24. Mai 2016. Dabei spiegle die unterschiedliche Beurteilung der Arbeitsfähigkeit eine Veränderung der tatsächlichen Verhältnisse wieder.</w:t>
      </w:r>
    </w:p>
    <w:p>
      <w:r>
        <w:rPr>
          <w:b/>
        </w:rPr>
        <w:t>E. 4.2</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4.3</w:t>
      </w:r>
    </w:p>
    <w:p>
      <w:r>
        <w:t>Die durch das kantonale Gericht getroffenen Tatsachenfeststellungen, namentlich die aus den medizinischen Unterlagen gewonnenen Erkenntnisse, sind im letztinstanzlichen Prozess grundsätzlich verbindlich.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eventueller gesundheitlicher Beeinträchtigungen verbleibenden Arbeitsfähigkeit zu korrigieren (vgl. auch Urteil 8C_537/2017 vom 29. September 2017 E. 5). Einzugreifen hat das Bundesgericht jedoch dann, wenn die vorinstanzlichen Feststellungen auf einer offensichtlich unrichtigen Interpretation oder einer willkürlichen Würdigung der massgeblichen Akten beruhen.</w:t>
      </w:r>
    </w:p>
    <w:p>
      <w:r>
        <w:rPr>
          <w:b/>
        </w:rPr>
        <w:t>E. 4.4</w:t>
      </w:r>
    </w:p>
    <w:p>
      <w:r>
        <w:t>Die rentenzusprechende Verfügung basierte auf der Annahme, dass der Versicherten ihre angestammte Tätigkeit als Pflegehilfe nicht mehr länger zumutbar war. Da auch die Gutachter der PMEDA eine Arbeitsfähigkeit der Beschwerdeführerin als Pflegehilfe verneinten, besteht hinsichtlich ihrer angestammten Tätigkeit keine wesentliche Differenz zwischen der ursprünglichen Verfügung und dem neusten Gutachten. Daran vermag auch der Umstand nichts zu ändern, dass sich die Gutachter der PMEDA in Bezug auf die Arbeitsfähigkeit als Pflegehilfe nur für die Zeit ab 2013 festlegen wollten.</w:t>
      </w:r>
    </w:p>
    <w:p>
      <w:r>
        <w:rPr>
          <w:b/>
        </w:rPr>
        <w:t>E. 4.5</w:t>
      </w:r>
    </w:p>
    <w:p>
      <w:r>
        <w:t>Was die Arbeitsfähigkeit der Versicherten in einer angepassten Tätigkeit angeht, bescheinigte Dr. med. C.________ ihr 2002 eine solche von 50 %, während die Gutachter der PMEDA im Jahre 2016 eine volle Arbeitsfähigkeit für zumutbar erachteten. Entgegen den Erwägungen der Vorinstanz erklärten die Gutachter diese Differenz indessen nicht mit einer Verbesserung des Gesundheitszustandes durch die zwischenzeitlich erfolgten Operationen; sie betonten vielmehr ausdrücklich und mehrfach, dass ihre Einschätzung "ex tunc" gelte. Zudem kritisierten sie, die im Jahre 2002 gestellten Diagnosen könnten eine Einschränkung in der Arbeitsfähigkeit in einer angepassten Tätigkeit nicht begründen. Die vorinstanzliche Erwägung, welche aus den Ausführungen der Gutachter der PMEDA auf eine erhebliche Veränderung der tatsächlichen Verhältnisse schliesst, ist somit offensichtlich unrichtig. Auch aus dem Gutachten der asim aus dem Jahre 2013 ergibt sich eine solche Veränderung nicht. Es ist vielmehr davon auszugehen, dass die unterschiedlichen Einschätzungen bloss auf einer abweichenden Beurteilung eines im Wesentlichen gleich gebliebenen Sachverhaltes beruhen. Ist damit keine revisionsrechtlich relevante Sachverhaltsänderung nachgewiesen, so entfällt die Möglichkeit einer Revision nach Art. 17 Abs. 1 ATSG . Anzumerken bleibt, dass aufgrund der damaligen Aktenlage die Annahme, bei Erlass der rentenzusprechenden Verfügung im Jahre 2003 sei von einer eingeschränkten Arbeitsfähigkeit auch in einer angepassten Tätigkeit auszugehen, jedenfalls nicht als zweifellos unrichtig erscheint.</w:t>
      </w:r>
    </w:p>
    <w:p>
      <w:r>
        <w:rPr>
          <w:b/>
        </w:rPr>
        <w:t>E. 4.6</w:t>
      </w:r>
    </w:p>
    <w:p>
      <w:r>
        <w:t>Da die Versicherte für mehr als fünfzehn Jahren eine Rente der Invalidenversicherung bezogen hat, entfällt die Möglichkeit einer Revision nach den Schlussbestimmungen der Änderung des IVG vom 18. März 2011 (6. IV-Revision, erstes Massnahmenpaket). Demnach hat die Beschwerdegegnerin - bei Fehlen eines Revisionsgrundes im Sinne von Art. 17 Abs. 1 ATSG - ihre Rentenleistungen weiterhin im bisherigen Umfang zu erbringen. Die Beschwerde der Versicherten ist somit gutzuheissen und die Verfügung und der kantonale Gerichtsentscheid sind ersatzlos aufzuheben.</w:t>
      </w:r>
    </w:p>
    <w:p>
      <w:r>
        <w:rPr>
          <w:b/>
        </w:rPr>
        <w:t>E. 5</w:t>
      </w:r>
    </w:p>
    <w:p>
      <w:r>
        <w:t>Das Verfahren ist kostenpflichtig ( Art. 65 Abs. 1 BGG ). Die Gerichtskosten werden der Beschwerdegegnerin als unterliegender Partei auferlegt ( Art. 66 Abs. 1 BGG ). Sie hat der Beschwerdeführerin eine Parteientschädigung auszurichten ( Art. 66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