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8C_556/2023 vom 5. August 2024</w:t>
      </w:r>
    </w:p>
    <w:p>
      <w:r>
        <w:t>Bundesgericht, 2024-08-05, DE</w:t>
      </w:r>
    </w:p>
    <w:p>
      <w:r>
        <w:rPr>
          <w:b/>
        </w:rPr>
        <w:t xml:space="preserve">Quelle: </w:t>
      </w:r>
      <w:r>
        <w:t>https://mcp.opencaselaw.ch/entscheid/bger_8C_556_2023</w:t>
      </w:r>
    </w:p>
    <w:p>
      <w:r>
        <w:t>FR: TF 8C_556/2023 du 5 août 2024</w:t>
      </w:r>
    </w:p>
    <w:p>
      <w:r>
        <w:t>IT: TF 8C_556/2023 del 5 agosto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der IV-Stelle vom 24. Januar 2023 bestätigte. Zur Frage steht, ob sich seit der letzten befristeten Rentenzusprechung auf der Grundlage eines Gutachtens der Medexperts AG, St. Gallen, vom 3. Juni 2016 eine rentenerhebliche Verschlechterung des psychischen Leidens des Beschwerdeführers eingestellt habe.</w:t>
      </w:r>
    </w:p>
    <w:p>
      <w:r>
        <w:rPr>
          <w:b/>
        </w:rPr>
        <w:t>E. 3.1</w:t>
      </w:r>
    </w:p>
    <w:p>
      <w:r>
        <w:t>Am 1. Januar 2022 trat das revidierte Bundesgesetz über die Invalidenversicherung (IVG; SR 831.20) in Kraft (Weiterentwicklung der IV [WEIV]; Änderung vom 19. Juni 2020, AS 2021 705, BBl 2017 2535). In Anwendung des intertemporalrechtlichen Hauptsatzes ist bei einem dauerhaften Sachverhalt, der teilweise vor und teilweise nach dem Inkrafttreten der neuen Gesetzgebung eingetreten ist, der Anspruch auf eine Invalidenrente für die Zeit bis Ende 2021 nach den altrechtlichen Bestimmungen und ab Januar 2022 nach den neuen Normen zu prüfen (Urteil 8C_435/2023 vom 27. Mai 2024 E. 4, zur Publikation vorgesehen).</w:t>
      </w:r>
    </w:p>
    <w:p>
      <w:r>
        <w:rPr>
          <w:b/>
        </w:rPr>
        <w:t>E. 3.2</w:t>
      </w:r>
    </w:p>
    <w:p>
      <w:r>
        <w:t>Das kantonale Gericht hat die Grundsätze über die Anspruchsprüfung bei einer Neuanmeldung nach vorausgegangener Ablehnung des Rentenanspruchs (Art. 87 Abs. 3 in Verbindung mit Abs. 2 IVV; BGE 130 V 71 E. 2.2) unter analoger Anwendung der Grundsätze zur Rentenrevision nach Art. 17 ATSG ( BGE 134 V 131 E. 3; 133 V 108 ; 130 V 71 E. 3.1; 117 V 198 E. 3a; vgl. auch BGE 141 V 9 E. 2.3) zutreffend dargelegt. Es wird darauf verwiesen. Hervorzuheben ist, dass eine bloss abweichende Beurteilung eines im Wesentlichen gleich gebliebenen Sachverhaltes keine revisionsrechtlich relevante Änderung darstellt ( BGE 147 V 161 E. 4.2; 112 V 371 E. 2b).</w:t>
      </w:r>
    </w:p>
    <w:p>
      <w:r>
        <w:rPr>
          <w:b/>
        </w:rPr>
        <w:t>E. 4</w:t>
      </w:r>
    </w:p>
    <w:p>
      <w:r>
        <w:t>Gemäss Vorinstanz bestehen aus somatischer Sicht unverändert Beschwerden an der rechten Schulter nach einem Sturz im September 2008. In psychiatrischer Hinsicht hätten die Medexperts- wie auch die SMAB-Gutachter eine rezidivierende depressive Störung, gegenwärtig leichte depressive Episode, und eine Persönlichkeitsveränderung diagnostiziert. Eine rentenerhebliche Veränderung könne, so das kantonale Gericht, auch insoweit nicht als ausgewiesen gelten und ein Revisionsgrund sei daher nicht gegeben. Daran vermöge nichts zu ändern, dass, jeweils im Rahmen einer vollzeitlichen Präsenz, gemäss dem früheren Gutachten eine Leistungsfähigkeit von 70 %, nach der aktuellen gutachtlichen Einschätzung indessen eine solche von 60 % bescheinigt werde. Denn der psychiatrische SMAB-Gutachter habe keine Veränderung des Gesundheitszustands des Beschwerdeführers festgestellt, sondern die Arbeitsfähigkeit in einer leidensangepassten Tätigkeit gestützt auf den unverändert gebliebenen medizinischen Sachverhalt anders eingeschätzt. Die bloss unterschiedliche Beurteilung der Auswirkungen eines im Wesentlichen unverändert gebliebenen Gesundheitszustandes auf die Arbeitsfähigkeit stelle für sich allein genommen keinen Revisionsgrund im Sinne von Art. 17 Abs. 1 ATSG dar.</w:t>
      </w:r>
    </w:p>
    <w:p>
      <w:r>
        <w:t>Der Beschwerdeführer stellt sich demgegenüber auf den Standpunkt, dass auf die nunmehr bescheinigte geringere Arbeitsfähigkeit hätte abgestellt und die erwerblichen Auswirkungen hätten geprüft werden müssen.</w:t>
      </w:r>
    </w:p>
    <w:p>
      <w:r>
        <w:rPr>
          <w:b/>
        </w:rPr>
        <w:t>E. 5</w:t>
      </w:r>
    </w:p>
    <w:p>
      <w:r>
        <w:t>Inwiefern das kantonale Gericht offensichtlich unrichtige Sachverhaltsfeststellungen getroffen oder die bei Neuanmeldungen beziehungsweise bei Rentenrevisionen zu beachtenden Grundsätze verletzt haben sollte, ist nicht erkennbar. Der Beschwerdeführer beruft sich darauf, dass eine anspruchserhebliche Änderung praxisgemäss auch dann gegeben sei, wenn sich ein Leiden - bei gleicher Diagnose - in seiner Intensität und in seinen Auswirkungen auf die Arbeitsfähigkeit verändert habe (Urteil 9C_771/2009 vom 10. September 2010 E. 2.3 mit Hinweisen). Er zeigt indessen nicht auf, dass das kantonale Gericht entsprechende von den SMAB-Gutachtern genannte Aspekte unberücksichtigt gelassen hätte, die die von den Experten bescheinigte, um weitere 10 % reduzierte Arbeitsfähigkeit zu begründen vermöchten. Solche sind denn auch aus den Angaben des psychiatrischen Teilgutachters bezüglich der Schwere des Leidens nicht ersichtlich. Die letzte stationäre Behandlung fand im Frühjahr 2020 statt. Im November 2020 habe der Beschwerdeführer, so der psychiatrische Gutachter, seine Stelle als Küchenhilfe in einer geschützten Werkstatt - und damit auch eine Tagesstruktur und soziale Kontakte - aus unbekannten Gründen verloren, was subjektiv zu einer Verschlechterung der Stimmungslage geführt habe. Gestützt darauf lassen sich keine hinreichenden Anhaltspunkte für eine erhebliche objektive Verschlechterung des psychischen Gesundheitszustandes ausmachen, zumal der Gutachter davon ausgeht, dass weitergehende Behandlungsoptionen insbesondere in Form einer Intensivierung der antidepressiven Medikation bestünden.</w:t>
      </w:r>
    </w:p>
    <w:p>
      <w:r>
        <w:t>Dass die Vorinstanz unter Verzicht auf beweismässige Weiterungen von einem im Wesentlichen unveränderten Gesundheitszustand und damit vom Fehlen eines Revisionsgrundes ausgegangen ist, ohne die erwerblichen Auswirkungen zu prüfen, ist damit insgesamt nicht zu beanstanden.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