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555/2010 vom 22. November 2010</w:t>
      </w:r>
    </w:p>
    <w:p>
      <w:r>
        <w:t>Bundesgericht, 2010-11-22, IT</w:t>
      </w:r>
    </w:p>
    <w:p>
      <w:r>
        <w:rPr>
          <w:b/>
        </w:rPr>
        <w:t xml:space="preserve">Quelle: </w:t>
      </w:r>
      <w:r>
        <w:t>https://mcp.opencaselaw.ch/entscheid/bger_8C_555_2010</w:t>
      </w:r>
    </w:p>
    <w:p>
      <w:r>
        <w:t>FR: TF 8C 555/2010 du 22 novembre 2010</w:t>
      </w:r>
    </w:p>
    <w:p>
      <w:r>
        <w:t>IT: TF 8C 555/2010 del 22 novembre 2010</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cui si rinvia, l'autorità giudiziaria competente ha già esposto le norme disciplinanti la materia, rammentando in particolare i presupposti che secondo il diritto svizzero - per principio applicabile al caso di specie anche in seguito all'entrata in vigore, il 1° giugno 2002, dell'Accordo del 21 giugno 1999 tra la Confederazione Svizzera, da una parte, e la Comunità europea ed i suoi Stati membri, dall'altra, sulla libera circolazione delle persone (ALC), l'Accordo avendo lasciato immutata la competenza degli Stati contraenti a definire i propri sistemi di sicurezza sociale ( art. 8 ALC in relazione con l' art. 1 cpv. 1 Allegato II ALC e la sua sezione A) - devono essere adempiuti per conferire a una persona assicurata il diritto a una rendita dell'assicurazione per l'invalidità. Così dopo aver esposto i concetti d'incapacità al guadagno ( art. 7 LPGA ) e d'invalidità ( art. 8 LPGA e art. 4 LAI ), i primi giudici, rammentati i limiti temporali del potere cognitivo del giudice nel caso di specie ( DTF 132 V 215 consid. 3.1.1 pag. 220; 121 V 362 consid. 1b pag. 366), hanno precisato i presupposti e l'estensione del diritto alla rendita ( art. 28 cpv. 1 LAI ), il metodo ordinario di confronto dei redditi per la determinazione del grado d'invalidità di assicurati esercitanti un'attività lucrativa ( art. 16 LPGA ), nonché i compiti del medico e il valore probatorio attribuito a questi referti nell'ambito dell'accertamento dell'invalidità ( DTF 125 V 256 consid. 4 pag. 261, 351 consid. 3b/ee pag. 353; sul momento determinante cfr. inoltre DTF 129 V 222 ; 128 V 174 ). A tale esposizione può essere fatto riferimento e prestata adesione, non senza tuttavia ricordare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edita dall'Ufficio federale di statistica (ISS; DTF 126 V 75 consid. 3b pag. 76 con riferimenti).</w:t>
      </w:r>
    </w:p>
    <w:p>
      <w:r>
        <w:rPr>
          <w:b/>
        </w:rPr>
        <w:t>E. 3</w:t>
      </w:r>
    </w:p>
    <w:p>
      <w:r>
        <w:t>Unico oggetto del contendere è sapere se I.________ abbia diritto a una rendita d'invalidità. Ogni ulteriore questione e richiesta sollevata con il ricorso non può essere esaminata in questa sede in quanto esulante dall'oggetto della lite.</w:t>
      </w:r>
    </w:p>
    <w:p>
      <w:r>
        <w:rPr>
          <w:b/>
        </w:rPr>
        <w:t>E. 4.1</w:t>
      </w:r>
    </w:p>
    <w:p>
      <w:r>
        <w:t>Nella misura in cui contesta la valutazione dell'incapacità lavorativa operata dai primi giudici, i quali, facendo uso del potere di apprezzamento delle prove loro riconosciuto, hanno fondato il proprio giudizio sul parere del SMR (vale a dire sui rapporti del 6 settembre 2006 del dott. R.________ e del 20 novembre 2007 del dott. U.________, i quali, a loro volta, si sono fondati sulle conclusioni del referto 17 giugno 2005 del dott. G.________, specialista FMH in malattie reumatiche, fisiatria e riabilitazione, intervenuto per incarico dell'assicuratore malattia dell'interessato; sui compiti e il valore probatorio attribuiti ai rapporti interni del servizio medico dell'AI cfr. art. 49 OAI nonché DTF 135 V 254 consid. 3.3 e 3.4 pag. 257 segg. e SVR 2009 IV n. 56 pag. 174 [9C_323/2009; 9C_954/2009]) accertando, per la precedente attività di lattoniere, un'incapacità lavorativa del 100% dal 7 dicembre 2004 e in attività sostitutive confacenti al suo stato di salute una abilità del 100% dal giugno 2005, l'insorgente censura un giudizio su una questione di fatto che, in quanto tale, vincola per principio questo tribunale ( DTF 132 V 393 consid. 3.2 pag. 398 seg.).</w:t>
      </w:r>
    </w:p>
    <w:p>
      <w:r>
        <w:rPr>
          <w:b/>
        </w:rPr>
        <w:t>E. 4.2</w:t>
      </w:r>
    </w:p>
    <w:p>
      <w:r>
        <w:t>Orbene, questa conclusione non lede nessuna norma di diritto federale, né risulta da un accertamento manifestamente errato o incompleto dei fatti o da un apprezzamento arbitrario delle prove. Senza arbitrio (sul concetto di arbitrio nel presente contesto cfr. sentenza 9C_337/2007 del 12 giugno 2008, in SVR 2008 IV n. 60 pag. 195 consid. 6.2.2), i primi giudici hanno esposto perché l'amministrazione poteva fondarsi validamente sulle conclusioni del dott. R.________ dapprima e del dott. U.________ in seguito. A tal proposito, il Tribunale amministrativo federale ha ritenuto infatti che non vi era motivo di scostarsi dalle loro valutazioni, dato che il referto del dott. G.________ all'attenzione della cassa malati, sul quale entrambi hanno fondato il loro apprezzamento, adempiva i requisiti posti dalla giurisprudenza per accordargli piena valenza probatoria, essendo esso completo, motivato e convincente. In particolare la precedente istanza ha spiegato perché le conclusioni del SMR non erano suscettibili di essere poste seriamente in dubbio dalle valutazioni espresse nella perizia medica particolareggiata del 6 dicembre 2005 dell'Istituto nazionale italiano di previdenza sociale (INPS) e neppure da quelle contenute nel referto 22 aprile 2008 del dott. H.________, privatamente consultato dall'interessato.</w:t>
      </w:r>
    </w:p>
    <w:p>
      <w:r>
        <w:rPr>
          <w:b/>
        </w:rPr>
        <w:t>E. 4.3</w:t>
      </w:r>
    </w:p>
    <w:p>
      <w:r>
        <w:t>Ne discende che la decisione dei primi giudici di attribuire pieno valore probatorio ai rapporti del dott. G.________ e degli specialisti del SMR e di considerare l'assicurato abile al lavoro nella misura del 100% in attività adeguate, rispettose delle limitazioni indicate dal dott. G.________ e confermate dai medici di detto servizio, può essere tutelata. Al ricorrente va inoltre ricordato che il solo fatto che uno o più medici curanti esprimano un'opinione contradditoria non è sufficiente a rimettere in discussione una perizia ordinata dall'amministrazione e a imporre nuovi accertamenti.</w:t>
      </w:r>
    </w:p>
    <w:p>
      <w:r>
        <w:rPr>
          <w:b/>
        </w:rPr>
        <w:t>E. 4.4</w:t>
      </w:r>
    </w:p>
    <w:p>
      <w:r>
        <w:t>La situazione medica risulta di conseguenza chiara e non necessita di accertamenti completivi, l'incarto contenendo già le indicazioni necessarie ai fini decisionali ( DTF 122 V 157 consid. 1d pag. 162). Per il resto, i redditi di riferimento per il calcolo dell'invalidità, determinati in conformità alla giurisprudenza ( DTF 135 V 297 ; 134 V 322 consid. 4 seg. pag. 325 segg.; SVR 2007 UV n. 17 pag. 56 [U 75/03]), risultano dagli atti e dall'ISS e non sono, in quanto tali, contestati. In proposito si osservi nondimeno che la deduzione massima (del 25%) applicata dalle istanze inferiori sul reddito base da invalido per tenere conto delle particolarità personali e professionali del caso appare in concreto piuttosto generosa.</w:t>
      </w:r>
    </w:p>
    <w:p>
      <w:r>
        <w:rPr>
          <w:b/>
        </w:rPr>
        <w:t>E. 4.5</w:t>
      </w:r>
    </w:p>
    <w:p>
      <w:r>
        <w:t>Ne segue che, per quanto ammissibile, il ricorso va respinto.</w:t>
      </w:r>
    </w:p>
    <w:p>
      <w:r>
        <w:rPr>
          <w:b/>
        </w:rPr>
        <w:t>E. 5</w:t>
      </w:r>
    </w:p>
    <w:p>
      <w:r>
        <w:t>L'insorgente ha chiesto di essere posto al beneficio dell'assistenza giudiziaria gratuita.</w:t>
      </w:r>
    </w:p>
    <w:p>
      <w:r>
        <w:rPr>
          <w:b/>
        </w:rPr>
        <w:t>E. 5.1</w:t>
      </w:r>
    </w:p>
    <w:p>
      <w:r>
        <w:t>Il Tribunale federale dispensa la parte che dimostra di essere in uno stato di bisogno e le cui conclusioni non sembrano prive di probabilità di successo, dal pagare le spese processuali e i disborsi ( art. 64 cpv. 1 LTF ). Se occorre, il Tribunale federale può fare assistere questa parte da un avvocato i cui onorari sono sopportati dalla cassa del Tribunale medesimo ( art. 64 cpv. 2 LTF ).</w:t>
      </w:r>
    </w:p>
    <w:p>
      <w:r>
        <w:rPr>
          <w:b/>
        </w:rPr>
        <w:t>E. 5.2</w:t>
      </w:r>
    </w:p>
    <w:p>
      <w:r>
        <w:t>Considerato che le conclusioni del presente ricorso erano fin dall'inizio sprovviste di possibilità di esito favorevole, la domanda di assistenza giudiziaria gratuita dev'essere respinta, senza che occorra esaminare l'indigenza dell'istante.</w:t>
      </w:r>
    </w:p>
    <w:p>
      <w:r>
        <w:rPr>
          <w:b/>
        </w:rPr>
        <w:t>E. 6</w:t>
      </w:r>
    </w:p>
    <w:p>
      <w:r>
        <w:t>Le spese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