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8C_555/2009 vom 11. März 2010</w:t>
      </w:r>
    </w:p>
    <w:p>
      <w:r>
        <w:t>Bundesgericht, 2010-03-11, IT</w:t>
      </w:r>
    </w:p>
    <w:p>
      <w:r>
        <w:rPr>
          <w:b/>
        </w:rPr>
        <w:t xml:space="preserve">Quelle: </w:t>
      </w:r>
      <w:r>
        <w:t>https://mcp.opencaselaw.ch/entscheid/bger_8C_555_2009</w:t>
      </w:r>
    </w:p>
    <w:p>
      <w:r>
        <w:t>FR: TF 8C_555/2009 du 11 mars 2010</w:t>
      </w:r>
    </w:p>
    <w:p>
      <w:r>
        <w:t>IT: TF 8C_555/2009 del 11 marzo 2010</w:t>
      </w:r>
    </w:p>
    <w:p>
      <w:pPr>
        <w:pStyle w:val="Heading2"/>
      </w:pPr>
      <w:r>
        <w:t>Erwägungen</w:t>
      </w:r>
    </w:p>
    <w:p>
      <w:r>
        <w:rPr>
          <w:b/>
        </w:rPr>
        <w:t>E. 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t>Per il resto, di regola il Tribunale federale applica d'ufficio il diritto ( art. 106 cpv. 1 LTF ; cfr. tuttavia l'eccezione di cui al cpv. 2) e non è vincolato né dagli argomenti sollevati nel ricorso né dai motivi addotti dall'autorità inferiore. Esso esamina in linea di massima solo le censure sollevate, non essendo per contro tenuto a vagliare, come lo farebbe un'autorità di prima istanza, tutte le questioni giuridiche che si pongono, se queste ultime non sono sollevate in sede federale.</w:t>
      </w:r>
    </w:p>
    <w:p>
      <w:r>
        <w:rPr>
          <w:b/>
        </w:rPr>
        <w:t>E. 2</w:t>
      </w:r>
    </w:p>
    <w:p>
      <w:r>
        <w:t>In sede federale, il ricorrente ha prodotto alcuni nuovi atti medici (referti del 29 maggio 2009 del dott. C.________, del 23/25 giugno 2009 del dott. N.________ e dell'11 dicembre 2009 del prof. dott. E.________). Trattandosi di atti allestiti successivamente alla data del giudizio impugnato, gli stessi configurano di per sé nuovi mezzi di prova inammissibili ai sensi dell' art. 99 cpv. 1 LTF ( DTF 135 V 194 ; Ulrich Meyer, in Basler Kommentar, Bundesgerichtsgesetz, 2008, n. 43 all' art. 99 LTF , pag. 979).</w:t>
      </w:r>
    </w:p>
    <w:p>
      <w:r>
        <w:rPr>
          <w:b/>
        </w:rPr>
        <w:t>E. 3</w:t>
      </w:r>
    </w:p>
    <w:p>
      <w:r>
        <w:t>Oggetto del contendere in questa sede è, in sostanza, la sola questione di una eventuale violazione dell' art. 19 cpv. 1 LAINF , a norma del quale il diritto alla rendita nasce - rispettivamente quello alla cura medica e alle indennità giornaliere cessa - solo al momento in cui dalla continuazione della cura medica non sia da attendersi un sensibile miglioramento della salute dell'assicurato, ciò che è contestato dal ricorrente, il quale chiede l'esperimento di ulteriori relativi accertamenti. In modo implicito, l'interessato contesta per riflesso anche il prematuro riconoscimento dell'indennità per menomazione dell'integrità, che, giusta l' art. 24 cpv. 2 LAINF , è determinata simultaneamente alla rendita d'invalidità.</w:t>
      </w:r>
    </w:p>
    <w:p>
      <w:r>
        <w:rPr>
          <w:b/>
        </w:rPr>
        <w:t>E. 4</w:t>
      </w:r>
    </w:p>
    <w:p>
      <w:r>
        <w:t>Giusta l' art. 99 cpv. 2 LTF , dinanzi al Tribunale federale non sono ammissibili nuove conclusioni.</w:t>
      </w:r>
    </w:p>
    <w:p>
      <w:r>
        <w:t>Orbene, nella misura in cui, in concreto, il ricorrente pretende, contrariamente a quanto sostenuto in sede giudiziaria cantonale, dove litigiosa era unicamente la valutazione dell'invalidità e della menomazione dell'integrità, che al momento determinante della decisione su opposizione in lite egli aveva ancora diritto a ulteriori cure mediche e a indennità giornaliere per il motivo che non erano soddisfatte le condizioni legali di passaggio alla rendita, si tratta di una nuova conclusione nel senso della citata disposizione, in quanto tale inammissibile (cfr. sul tema Bernard Corboz, in Corboz/Wurzburger/Ferrari/Frésard/Aubry Girardin, Commentaire de la LTF, 2009, n. 28 segg. all' art. 99 LTF ). Questa situazione deve essere distinta da quella in cui il ricorrente avrebbe fatto valere un aggravamento dello stato di salute intervenuto in epoca posteriore alla data decisiva dell'atto amministrativo controverso. Anche in quest'ultima ipotesi, tuttavia, il Tribunale federale non avrebbe potuto esaminare il tema, l'insorgente avendo eventualmente la possibilità di annunciare una ricaduta.</w:t>
      </w:r>
    </w:p>
    <w:p>
      <w:r>
        <w:rPr>
          <w:b/>
        </w:rPr>
        <w:t>E. 5</w:t>
      </w:r>
    </w:p>
    <w:p>
      <w:r>
        <w:t>Ne segue che il ricorso dev'essere respinto, nella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