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8C_552/2009 vom 8. April 2010</w:t>
      </w:r>
    </w:p>
    <w:p>
      <w:r>
        <w:t>Bundesgericht, 2010-04-08, FR</w:t>
      </w:r>
    </w:p>
    <w:p>
      <w:r>
        <w:rPr>
          <w:b/>
        </w:rPr>
        <w:t xml:space="preserve">Quelle: </w:t>
      </w:r>
      <w:r>
        <w:t>https://mcp.opencaselaw.ch/entscheid/bger_8C_552_2009</w:t>
      </w:r>
    </w:p>
    <w:p>
      <w:r>
        <w:t>FR: TF 8C_552/2009 du 8 avril 2010</w:t>
      </w:r>
    </w:p>
    <w:p>
      <w:r>
        <w:t>IT: TF 8C_552/2009 del 8 aprile 2010</w:t>
      </w:r>
    </w:p>
    <w:p>
      <w:pPr>
        <w:pStyle w:val="Heading2"/>
      </w:pPr>
      <w:r>
        <w:t>Erwägungen</w:t>
      </w:r>
    </w:p>
    <w:p>
      <w:r>
        <w:rPr>
          <w:b/>
        </w:rPr>
        <w:t>E. 1</w:t>
      </w:r>
    </w:p>
    <w:p>
      <w:r>
        <w:t>Le tribunal cantonal a admis l'existence d'un rapport de causalité (naturelle et adéquate) entre les troubles au genou droit présentés par M.________ depuis le 12 mai 2004 jusqu'à sa reprise du travail le 4 janvier 2005 et l'événement accidentel assuré. Il a par conséquent ordonné le renvoi de la cause à la Nationale pour qu'elle alloue au prénommé les prestations LAA que celui-ci peut prétendre à ce titre. Dans la mesure où l'on ignore quelles sont les prestations en jeu et qu'il ne s'agit pas pour la recourante de procéder à un simple calcul de leur montant, l'arrêt attaqué doit s'analyser comme une décision de renvoi incidente qui ne peut être attaquée qu'aux conditions de l' art. 93 LTF . En l'espèce, il y a lieu de considérer que la Nationale subit un préjudice irréparable au sens de l' art. 93 al. 1 let. a LTF . En effet, le jugement entrepris comporte des instructions impératives qui restreignent considérablement sa latitude de jugement pour la suite de la procédure, de sorte qu'elle est tenue de rendre une décision qui, selon elle, est contraire au droit fédéral (cf. ATF 133 V 477 consid. 5.2 p. 483 ss et les arrêts cités). Il convient dès lors d'entrer en matière sur son recours.</w:t>
      </w:r>
    </w:p>
    <w:p>
      <w:r>
        <w:rPr>
          <w:b/>
        </w:rPr>
        <w:t>E. 2</w:t>
      </w:r>
    </w:p>
    <w:p>
      <w:r>
        <w:t>Le jugement entrepris expose correctement les dispositions légales ( art. 6 al. 1 LAA ; art. 4 LPGA ) ainsi que les principes jurisprudentiels (relatifs à la notion de la causalité naturelle et adéquate, de statu quo ante / statu quo sine) applicables au cas, si bien qu'on peut, sur ces points, renvoyer à ses considérants.</w:t>
      </w:r>
    </w:p>
    <w:p>
      <w:r>
        <w:rPr>
          <w:b/>
        </w:rPr>
        <w:t>E. 3</w:t>
      </w:r>
    </w:p>
    <w:p>
      <w:r>
        <w:t>La juridiction cantonale a retenu, en se référant aux résultats des examens médicaux réalisés avant l'intervention du 18 novembre 2004, qu'il n'existait pas d'état maladif préexistant. Elle a également relevé que la souris articulaire, responsable des douleurs et de l'incapacité de travail de l'assuré, ne se trouvait pas à la même place avant et après l'accident du 12 mai 2004. Elle en a déduit que le traumatisme subi à cette occasion, éventuellement associé à d'autres facteurs, était la condition sine qua non de la présence du fragment libre extrait par le docteur R.________, dont l'origine exacte pouvait demeurer ouverte. D'ailleurs, aucune nouvelle incapacité de travail n'avait été annoncée depuis lors. Dans ces conditions, la juridiction cantonale a estimé que l'appréciation médicale du docteur Z.________ ne convainquait pas et qu'il fallait reconnaître que le lien de causalité avait perduré au-delà du 13 août 2004.</w:t>
      </w:r>
    </w:p>
    <w:p>
      <w:r>
        <w:rPr>
          <w:b/>
        </w:rPr>
        <w:t>E. 4</w:t>
      </w:r>
    </w:p>
    <w:p>
      <w:r>
        <w:t>La Nationale fait grief aux premiers juges d'avoir fait des constatations médicales qui ne trouvent aucun appui dans les pièces au dossier et de s'être largement fondés sur le postulat post hoc ergo propter hoc pour établir le rapport de causalité naturelle. Contrairement à l'opinion des premiers juges, il n'existait aucun motif de s'écarter des conclusions du docteur Z.________, qui avait au demeurant réfuté de manière convaincante les arguments avancés par l'expert privé de l'assuré, le docteur E.________.</w:t>
      </w:r>
    </w:p>
    <w:p>
      <w:r>
        <w:rPr>
          <w:b/>
        </w:rPr>
        <w:t>E. 5.1</w:t>
      </w:r>
    </w:p>
    <w:p>
      <w:r>
        <w:t>Il faut convenir avec la recourante que c'est sans discuter les avis médicaux en présence et en substituant en partie tout au moins leur propre appréciation à celle des médecins que les juges cantonaux ont tranché la question de la causalité naturelle. Comme le relève à juste titre la recourante, on ne comprend pas comment ceux-ci ont pu parvenir à la conclusion que l'état du genou droit de l'assuré était «tout à fait sain», alors que dans les rapports respectifs aussi bien du docteur Z.________ que des docteurs E.________ et D.________, il est fait état de troubles dégénératifs (même si ces médecins divergent sur leur importance), ni où il serait établi qu'il y a eu un déplacement de la souris articulaire (on ne peut pas l'inférer des notes téléphoniques de la Nationale sur ses entretiens avec le docteur R.________). L'existence d'un lien de causalité naturelle s'apprécie avant tout sur la base de faits médicaux et d'évaluations médicales sur lesquels le juge doit se fonder en priorité (voir FRÉSARD/MOSER-SZELESS, L'assurance-accidents obligatoire, in : Schweizerisches Bundesverwaltungsrecht [SBVR], Vol. XIV, 2ème éd., no 82 p. 866).</w:t>
      </w:r>
    </w:p>
    <w:p>
      <w:r>
        <w:rPr>
          <w:b/>
        </w:rPr>
        <w:t>E. 5.2</w:t>
      </w:r>
    </w:p>
    <w:p>
      <w:r>
        <w:t>En l'occurrence, on se trouve en présence de deux opinions médicales : d'un côté, celle du médecin-conseil de l'assureur-accidents; de l'autre, celle de l'expert privé que partage également le médecin-conseil de l'assureur-maladie (appréciation du 7 avril 2009). Sauf à dire que la souris articulaire extraite du genou droit de l'assuré était vraisemblablement la cause principale des douleurs de celui-ci, ces médecins s'opposent sur tous les autres points. Pour le docteur Z.________, les diverses investigations médicales n'ont révélé aucune lésion post-traumatique objectivable. Si la souris articulaire avait eu une origine traumatique, le docteur R.________ aurait noté une lésion sur la surface articulaire fémoro-tibiale ou fémoro-patellaire, ce qui n'avait pas été le cas. Compte tenu des troubles dégénératifs constatés chez l'assuré et du déroulement des faits, il était plus vraisemblable que la souris articulaire était due à une aggravation progressive d'une pathologie dégénérative. A l'inverse, le docteur E.________ estime que les lésions dégénératives sont minimes et que l'absence de lésion sur la surface articulaire au moment de l'arthroscopie n'est pas décisive parce qu'un «lit d'avulsion d'une souris articulaire» peut se cicatriser dans un intervalle de 6 mois. En revanche, les constatations radiologiques et les circonstances du cas particulier, notamment la continuité des douleurs depuis l'accident et les périodes d'incapacité de travail, permettaient de conclure à une origine traumatique de ladite souris.</w:t>
      </w:r>
    </w:p>
    <w:p>
      <w:r>
        <w:rPr>
          <w:b/>
        </w:rPr>
        <w:t>E. 5.3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5.4</w:t>
      </w:r>
    </w:p>
    <w:p>
      <w:r>
        <w:t>Comme on l'a vu ci-dessus (consid. 5.3 supra), de nombreux points séparent les considérations du médecin-conseil de la Nationale de celles de l'expert privé sans que l'on puisse dénier une valeur probante à leurs avis respectifs. Il subsiste donc suffisamment de doutes sur la question litigieuse pour qu'une instruction complémentaire au sens de la jurisprudence précitée s'impose. La cause sera par conséquent renvoyée à la Nationale afin qu'elle mette en oeuvre une expertise au sens de l' art. 44 LPGA . Dans cette mesure le recours est bien fondé.</w:t>
      </w:r>
    </w:p>
    <w:p>
      <w:r>
        <w:rPr>
          <w:b/>
        </w:rPr>
        <w:t>E. 6</w:t>
      </w:r>
    </w:p>
    <w:p>
      <w:r>
        <w:t>La procédure est onéreuse ( art. 65 LTF ). Les intimés, qui succombent, doivent en supporter les frais ( art. 66 al. 1 LTF ). En l'espèce, on se trouve en présence de deux litiges joints opposant, d'une part, l'assuré à la Nationale et, d'autre part, la Swica à la Nationale. L' art. 65 al. 4 let. a LTF , qui prévoit un émolument réduit en cas de litige entre un assuré et un assureur social portant sur des prestations d'assurance sociale, ne vise pas les litiges entre assureurs auxquels s'applique la règle générale de l' art. 65 al. 3 LTF (voir l'arrêt 9C_799/2007 du 25 avril 2008, consid. 4). Il se justifie par conséquent de fixer les frais judiciaires de l'instance fédérale à 3'000 fr. et de les répartir de la manière suivante : 2'400 fr. à charge de la Swica et 600 fr. à la charge de M.________. Ce dernier ne peut en outre prétendre une indemnité de dépens ( art. 68 al. 1 LTF ). Quant à la Nationale, qui a également conclu à l'octroi de dépens, elle ne saurait non plus en prétendre, aucuns dépens n'étant alloués aux organisations chargées de tâches de droit public ( art. 68 al. 3 LTF ).</w:t>
      </w:r>
    </w:p>
    <w:p>
      <w:r>
        <w:rPr>
          <w:b/>
        </w:rPr>
        <w:t>E. 7</w:t>
      </w:r>
    </w:p>
    <w:p>
      <w:r>
        <w:t>Sous le chiffre 4 du jugement entrepris, la juridiction cantonale a condamné la Nationale à verser à l'assuré la somme de 2'500 fr. à titre de dépens. Etant donné le sort du litige en procédure fédérale, l'intéressé apparaissait fondé à recourir contre la décision sur opposition de la Nationale, de sorte qu'il n'y a pas lieu d'annuler ce chiffre 4 du dispositif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