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8C_54/2015 vom 30. Januar 2015</w:t>
      </w:r>
    </w:p>
    <w:p>
      <w:r>
        <w:t>Bundesgericht, 2015-01-30, DE</w:t>
      </w:r>
    </w:p>
    <w:p>
      <w:r>
        <w:rPr>
          <w:b/>
        </w:rPr>
        <w:t xml:space="preserve">Quelle: </w:t>
      </w:r>
      <w:r>
        <w:t>https://mcp.opencaselaw.ch/entscheid/bger_8C_54_2015</w:t>
      </w:r>
    </w:p>
    <w:p>
      <w:r>
        <w:t>FR: TF 8C_54/2015 du 30 janvier 2015</w:t>
      </w:r>
    </w:p>
    <w:p>
      <w:r>
        <w:t>IT: TF 8C_54/2015 del 30 gennaio 2015</w:t>
      </w:r>
    </w:p>
    <w:p>
      <w:pPr>
        <w:pStyle w:val="Heading2"/>
      </w:pPr>
      <w:r>
        <w:t>Volltext</w:t>
      </w:r>
    </w:p>
    <w:p>
      <w:r>
        <w:t>Bundesgericht</w:t>
      </w:r>
    </w:p>
    <w:p>
      <w:r>
        <w:t>Tribunal fédéral</w:t>
      </w:r>
    </w:p>
    <w:p>
      <w:r>
        <w:t>Tribunale federale</w:t>
      </w:r>
    </w:p>
    <w:p>
      <w:r>
        <w:t>Tribunal federal</w:t>
      </w:r>
    </w:p>
    <w:p>
      <w:r>
        <w:t>{T 0/2}</w:t>
      </w:r>
    </w:p>
    <w:p>
      <w:r>
        <w:t>8C_54/2015</w:t>
      </w:r>
    </w:p>
    <w:p>
      <w:r>
        <w:t>Urteil vom 30. Januar 2015</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Verwaltungsgericht des Kantons Solothurn, Amthaus 1, 4500 Solothurn,</w:t>
      </w:r>
    </w:p>
    <w:p>
      <w:r>
        <w:t>Beschwerdegegner.</w:t>
      </w:r>
    </w:p>
    <w:p>
      <w:r>
        <w:t>Gegenstand</w:t>
      </w:r>
    </w:p>
    <w:p>
      <w:r>
        <w:t>Sozialhilfe (unentgeltliche Rechtspflege;</w:t>
      </w:r>
    </w:p>
    <w:p>
      <w:r>
        <w:t>vorinstanzliches Verfahren),</w:t>
      </w:r>
    </w:p>
    <w:p>
      <w:r>
        <w:t>Beschwerde gegen die Verfügung des Verwaltungsgerichts des Kantons Solothurn</w:t>
      </w:r>
    </w:p>
    <w:p>
      <w:r>
        <w:t>vom 13. Januar 2015.</w:t>
      </w:r>
    </w:p>
    <w:p>
      <w:r>
        <w:t>Nach Einsicht</w:t>
      </w:r>
    </w:p>
    <w:p>
      <w:r>
        <w:t>in die Verfügung des Verwaltungsgerichts des Kantons Solothurn vom 13. Januar 2015, mit welcher das Gesuch von A.________ um Gewährung der unentgeltlichen Rechtspflege in einem Sozialhilfeverfahren abgewiesen wurde,</w:t>
      </w:r>
    </w:p>
    <w:p>
      <w:r>
        <w:t>in die dagegen am 22. Januar 2015 (Poststempel) erhobene Beschwerde, mit der A.________ um Beigabe eines unentgeltlichen Rechtsbeistandes für das kantonal-gerichtliche Verfahren ersucht,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w:t>
      </w:r>
    </w:p>
    <w:p>
      <w:r>
        <w:t>dass die Vorinstanz die unentgeltliche Verbeiständung im bei ihr anliegenden Prozess betreffend Auflage Autokauf wegen fehlender Notwendigkeit und geringen Erfolgsaussichten in der Sache selbst verweigerte,</w:t>
      </w:r>
    </w:p>
    <w:p>
      <w:r>
        <w:t>dass die Beschwerdeführerin letztinstanzlich nicht näher darlegt, inwiefern sie in diesem kantonal-gerichtlichen Verfahren konkret einer anwaltlichen Vertretung bedarf und inwiefern die vorinstanzliche Verweigerung gegen Bundesrecht verstossen soll,</w:t>
      </w:r>
    </w:p>
    <w:p>
      <w:r>
        <w:t>dass dies indessen gestützt auf Art. 42 Abs. 2 BGG erforderlich ist, damit auf die Beschwerde überhaupt eingetreten werden kann,</w:t>
      </w:r>
    </w:p>
    <w:p>
      <w:r>
        <w:t>dass, soweit die Beschwerdeführerin überdies in Aussicht stellt, für allfällige weitere Verfahren einen Rechtsbeistand zu benötigen, dies vorliegend nicht zum Prozessthema erhoben werden kann, es ihr aber frei steht, für andere Verfahren einen Rechtsanwalt beizuziehen, der ein Gesuch um unentgeltliche Verbeiständung stellen kann, bzw. in den andern Verfahren selbst das Gesuch zu stellen,</w:t>
      </w:r>
    </w:p>
    <w:p>
      <w:r>
        <w:t>dass die Beschwerde im vereinfachten Verfahren nach Art. 108 Abs. 1 lit. b BGG zu erledigen ist,</w:t>
      </w:r>
    </w:p>
    <w:p>
      <w:r>
        <w:t>dass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und den Sozialen Diensten X._________ schriftlich mitgeteilt.</w:t>
      </w:r>
    </w:p>
    <w:p>
      <w:r>
        <w:t>Luzern, 30. Januar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