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548/2017 vom 28. September 2017</w:t>
      </w:r>
    </w:p>
    <w:p>
      <w:r>
        <w:t>Bundesgericht, 2017-09-28, IT</w:t>
      </w:r>
    </w:p>
    <w:p>
      <w:r>
        <w:rPr>
          <w:b/>
        </w:rPr>
        <w:t xml:space="preserve">Quelle: </w:t>
      </w:r>
      <w:r>
        <w:t>https://mcp.opencaselaw.ch/entscheid/bger_8C_548_2017</w:t>
      </w:r>
    </w:p>
    <w:p>
      <w:r>
        <w:t>FR: TF 8C 548/2017 du 28 septembre 2017</w:t>
      </w:r>
    </w:p>
    <w:p>
      <w:r>
        <w:t>IT: TF 8C 548/2017 del 28 settembre 2017</w:t>
      </w:r>
    </w:p>
    <w:p>
      <w:pPr>
        <w:pStyle w:val="Heading2"/>
      </w:pPr>
      <w:r>
        <w:t>Regeste</w:t>
      </w:r>
    </w:p>
    <w:p>
      <w:r>
        <w:t>Assicurazione contro gli infortuni | Assicurazione contro gli infortuni</w:t>
      </w:r>
    </w:p>
    <w:p>
      <w:pPr>
        <w:pStyle w:val="Heading2"/>
      </w:pPr>
      <w:r>
        <w:t>Erwägungen</w:t>
      </w:r>
    </w:p>
    <w:p>
      <w:r>
        <w:rPr>
          <w:b/>
        </w:rPr>
        <w:t>E. 1.1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 termini stabiliti dalla legge, come è il caso per il termine di ricorso ( art. 100 LTF ), non possono essere prorogati ( art. 47 cpv. 2 LTF ). Benché in queste controversie il Tribunale federale abbia un pieno potere d'esame nell'accertamento dei fatti, non è comunque possibile presentare nuove prove ( art. 99 cpv. 1 LTF ; DTF 134 V 195 ). Il referto del 27 luglio 2017 dell'Ospedale B.________ non può quindi essere considerato e le conclusioni preliminari del ricorrente vanno quindi d'acchito rigettate.</w:t>
      </w:r>
    </w:p>
    <w:p>
      <w:r>
        <w:rPr>
          <w:b/>
        </w:rPr>
        <w:t>E. 2.1</w:t>
      </w:r>
    </w:p>
    <w:p>
      <w:r>
        <w:t>Dinanzi al Tribunale federale oggetto di impugnazione può essere soltanto il giudizio della Corte cantonale (art. 86 cpv. 1 lett. d e cpv. 2 LTF). Nella misura in cui il ricorrente si dilunga a censurare la decisione su opposizione emessa dall'INSAI, il ricorso è inammissibile.</w:t>
      </w:r>
    </w:p>
    <w:p>
      <w:r>
        <w:rPr>
          <w:b/>
        </w:rPr>
        <w:t>E. 2.2</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2.3</w:t>
      </w:r>
    </w:p>
    <w:p>
      <w:r>
        <w:t>Le critiche del ricorrente cadono nel vuoto. Oltre a fondarsi in gran parte su prove improponibili in questa sede (consid. 1), il ricorrente si confronta in maniera del tutto generica al limite della ricevibilità ( art. 42 cpv. 2 LTF ) con i considerandi del giudizio cantonale. Infatti, il Tribunale cantonale delle assicurazioni, rinviando al referto del Dr. C.________, ha messo in luce una discrepanza tra i disturbi dichiarati dall'assicurato, l'esame clinico e la completa negatività dei reperti elettroneugrafici/elettromiografici e dell'esame artro-TAC. Mancando un sufficiente sostrato oggettivabile ai disturbi lamentati oppure trattando i dolori alla stregua di una problematica psichica, questi ultimi per difetto di adeguatezza, in ogni caso a ragione i giudici ticinesi hanno escluso l'erogazione di una rendita di invalidità. Non si presenta infatti alcun indizio per ritenere inattendibili gli esami medici eseguiti. Inconsistenti per rapporto al giudizio cantonale anche gli asseriti dolori ai testicoli durante i rapporti sessuali. Per il resto, si può rinviare alle pertinenti considerazioni espresse dalla Corte cantonale ( art. 109 cpv. 3 LTF ).</w:t>
      </w:r>
    </w:p>
    <w:p>
      <w:r>
        <w:rPr>
          <w:b/>
        </w:rPr>
        <w:t>E. 3</w:t>
      </w:r>
    </w:p>
    <w:p>
      <w:r>
        <w:t>Ne segue che il ricorso, manifestamente infondato nella misura della minima ammissibilità, deve essere respinto secondo la procedura semplificata dell' art. 109 cpv. 2 lett. a LTF .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