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548/2007 vom 5. Mai 2008</w:t>
      </w:r>
    </w:p>
    <w:p>
      <w:r>
        <w:t>Bundesgericht, 2008-05-05, DE</w:t>
      </w:r>
    </w:p>
    <w:p>
      <w:r>
        <w:rPr>
          <w:b/>
        </w:rPr>
        <w:t xml:space="preserve">Quelle: </w:t>
      </w:r>
      <w:r>
        <w:t>https://mcp.opencaselaw.ch/entscheid/bger_8C_548_2007</w:t>
      </w:r>
    </w:p>
    <w:p>
      <w:r>
        <w:t>FR: TF 8C 548/2007 du 5 mai 2008</w:t>
      </w:r>
    </w:p>
    <w:p>
      <w:r>
        <w:t>IT: TF 8C 548/2007 del 5 maggio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Begriffe der Arbeitsunfähigkeit ( Art. 6 ATSG ) und der Invalidität ( Art. 4 Abs. 1 IVG in Verbindung mit Art. 7 und 8 Abs. 1 ATSG ) sowie die gesetzliche Regelung über den nach Massgabe des Invaliditätsgrades zu bestimmenden Umfang eines Rentenanspruchs ( Art. 28 Abs. 1 IVG ) und über die Invaliditätsbemessung bei Erwerbstätigen nach der Einkommensvergleichsmethode ( Art. 16 ATSG in Verbindung mit Art. 28 Abs. 2 IVG ) einschliesslich der hiezu ergangenen Rechtsprechung ( BGE 128 V 29 E. 1 S. 30 f. mit Hinweisen) zutreffend dargelegt, worauf verwiesen wird. Dasselbe gilt hinsichtlich der invalidenversicherungsrechtlichen Beurteilung psychischer Gesundheitsschäden ( BGE 131 V 49 E. 1.2 S. 50 f. mit Hinweisen). Auf den kantonalen Entscheid verwiesen werden kann ferner hinsichtlich der Bedeutung ärztlicher Arbeitsfähigkeitsschätzungen für die Invaliditätsbemessung ( BGE 125 V 256 E. 4 S. 261) und der Rechtsprechung zum Beweiswert ärztlicher Auskünfte ( BGE 125 V 351 E. 3 S. 352 ff.).</w:t>
      </w:r>
    </w:p>
    <w:p>
      <w:r>
        <w:rPr>
          <w:b/>
        </w:rPr>
        <w:t>E. 3</w:t>
      </w:r>
    </w:p>
    <w:p>
      <w:r>
        <w:t>Streitig ist einzig der trotz gesundheitlich bedingter Beeinträchtigung zumutbarerweise noch realisierbare Verdienst (Invalideneinkommen). Dabei setzt sich der Beschwerdeführer dagegen zur Wehr, dass die Vorinstanzen von der für das Jahr 2004 geltenden Tabelle TA 11 der vom Bundesamt für Statistik periodisch durchgeführten Lohnstrukturerhebung (LSE) ausgegangen sind. Unter Zubilligung eines 15%igen behinderungsbedingten Abzuges (vgl. BGE 126 V 75 E. 5 S. 78 ff.) ist die IV-Stelle zu einem Invalideneinkommen von Fr. 66'590.- gelangt, was verglichen mit dem unbestrittenen Verdienst von Fr. 156'683.-, den der Beschwerdeführer ohne Gesundheitsschaden mutmasslich erzielen würde (Valideneinkommen), einen Invaliditätsgrad von 58 % und damit einen Anspruch auf eine halbe Invalidenrente ergab. Das kantonale Gericht erkannte demgegenüber, dass bei der Bestimmung des Invalideneinkommens kein Anlass für einen Abzug von den Tabellenlöhnen gemäss LSE bestehe. Sie setzte daher das Invalideneinkommen auf Fr. 78'341.50 fest, was zu einem Invaliditätsgrad von lediglich 50 % führte, im Ergebnis aber am Anspruch auf eine halbe Invalidenrente nichts änderte.</w:t>
      </w:r>
    </w:p>
    <w:p>
      <w:r>
        <w:rPr>
          <w:b/>
        </w:rPr>
        <w:t>E. 3.1</w:t>
      </w:r>
    </w:p>
    <w:p>
      <w:r>
        <w:t>Unbestrittenermassen ist der Beschwerdeführer nicht mehr in der Lage, seiner früheren Berufstätigkeit nachzugehen. Eine ärztliche Beschäftigung mit direktem Patientenkontakt scheidet aus. Hingegen sollte es ihm möglich sein, seine beruflichen Kenntnisse und Erfahrungen in einem seinem Leiden angepassten Betätigungsfeld einzusetzen und damit ein Erwerbseinkommen zu generieren. In Frage kämen laut Bericht des Dr. med. A.________ vom 30. April 2006 etwa administrative Arbeiten als Arzt in der Verwaltung und für Versicherungen, wobei auch hier von einer um 50 % reduzierten Leistungsfähigkeit auszugehen wäre.</w:t>
      </w:r>
    </w:p>
    <w:p>
      <w:r>
        <w:rPr>
          <w:b/>
        </w:rPr>
        <w:t>E. 3.2</w:t>
      </w:r>
    </w:p>
    <w:p>
      <w:r>
        <w:t>Wie in der Beschwerdeschrift an sich richtig festgehalten wird, stellt die Frage nach der bei einem Einkommensvergleich gestützt auf die LSE anzuwendenden Tabelle nach der Rechtsprechung in BGE 132 V 393 eine vom Bundesgericht frei zu prüfende Rechtsfrage dar ( BGE 132 V 393 E. 3.3 S. 399). Als für das Bundesgericht bereits verbindlich beurteilter Aspekt erscheint hingegen das für die Wahl einer bestimmten Tabelle der LSE entscheidende Vorhandensein konkret erforderlicher Voraussetzungen wie etwa einer spezifischen Ausbildung und weiterer beruflicher Qualifikationen. Die Prüfung solcher bedeutsamer Gegebenheiten fällt in den Bereich der Sachverhaltserhebung und kann vom Bundesgericht - soweit eine auf einer Rechtsverletzung beruhende Sachverhaltsermittlung ausscheidet - grundsätzlich nur noch auf offensichtliche Unrichtigkeit hin überprüft werden (Art. 97 Abs. 1 sowie und Art. 105 Abs. 2 und - e contrario - 3 BGG). Eine solche liegt hier aber nicht vor und wird in der Beschwerdeschrift auch nicht geltend gemacht. Die von den Vorinstanzen beigezogene Tabelle TA 11 weist unter anderem die an Personen mit universitärem Hochschulabschluss bezahlten Löhne aus. Der Beschwerdeführer als ausgebildeter Mediziner verfügt über eine solche Ausbildung und kann eine mehrjährige Berufserfahrung vorweisen. Auch unter Berücksichtigung der Vorbringen in der Beschwerdeschrift ist unter diesen Umständen nicht einzusehen, inwiefern das Abstellen auf die Tabelle TA 11 der LSE 2004 bundesrechtswidrig sein sollte.</w:t>
      </w:r>
    </w:p>
    <w:p>
      <w:r>
        <w:rPr>
          <w:b/>
        </w:rPr>
        <w:t>E. 3.3</w:t>
      </w:r>
    </w:p>
    <w:p>
      <w:r>
        <w:t>Was den vom kantonalen Gericht verweigerten behinderungsbedingten Abzug von den in der LSE ausgewiesenen Tabellenlöhnen anbelangt, ist zunächst darauf hinzuweisen, dass die Bestimmung der Höhe eines solchen leidensbedingten Abzuges dem Ermessen der rechtsanwendenden Behörde anheimgestellt ist, welcher insoweit ein grosser Spielraum zuzubilligen ist. Ein richterliches Eingreifen kommt deshalb praktisch nur bei rechtsfehlerhafter Ermessensausübung, also bei Ermessensmissbrauch sowie Ermessensüber- oder -unterschreitung in Frage ( BGE 132 V 387 E. 3.3 S. 399). Selbst wenn man den von der Verwaltung zugestandenen Abzug von 15 % noch als im zulässigen Rahmen der Ermessensausübung durch die IV-Stelle liegend betrachten wollte, würde sich an dem auch vom kantonalen Gericht anerkannten Anspruch auf eine halbe Rente nichts ändern. Eine nähere Prüfung der Zulässigkeit der vorinstanzlichen Ablehnung jeglichen Abzuges von den Tabellenlöhnen gemäss LSE erübrigt sich daher.</w:t>
      </w:r>
    </w:p>
    <w:p>
      <w:r>
        <w:rPr>
          <w:b/>
        </w:rPr>
        <w:t>E. 4</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