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8C_545/2016 vom 28. September 2016</w:t>
      </w:r>
    </w:p>
    <w:p>
      <w:r>
        <w:t>Bundesgericht, 2016-09-28, DE</w:t>
      </w:r>
    </w:p>
    <w:p>
      <w:r>
        <w:rPr>
          <w:b/>
        </w:rPr>
        <w:t xml:space="preserve">Quelle: </w:t>
      </w:r>
      <w:r>
        <w:t>https://mcp.opencaselaw.ch/entscheid/bger_8C_545_2016</w:t>
      </w:r>
    </w:p>
    <w:p>
      <w:r>
        <w:t>FR: TF 8C_545/2016 du 28 septembre 2016</w:t>
      </w:r>
    </w:p>
    <w:p>
      <w:r>
        <w:t>IT: TF 8C_545/2016 del 28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8C_545/2016</w:t>
      </w:r>
    </w:p>
    <w:p>
      <w:r>
        <w:t>Urteil vom 28. September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Öffentliche Arbeitslosenkasse Basel-Stadt, Hochstrasse 37, 4053 Basel,</w:t>
      </w:r>
    </w:p>
    <w:p>
      <w:r>
        <w:t>vertreten durch das Amt für Wirtschaft und Arbeit, Kantonale Amtsstelle für Arbeitslosenversicherung, Rechtsdienst, Hochstrasse 37, 4053 Basel,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Zwischenentscheid des Sozialversicherungsgerichts des Kantons Basel-Stadt vom 8. August 2016.</w:t>
      </w:r>
    </w:p>
    <w:p>
      <w:r>
        <w:t>Nach Einsicht</w:t>
      </w:r>
    </w:p>
    <w:p>
      <w:r>
        <w:t>in die Beschwerde vom 31. August 2016 gegen den Zwischenentscheid des Sozialversicherungsgerichts des Kantons Basel-Stadt vom 8. August 2016 über die Erteilung der aufschiebenden Wirkung des bei ihm gegen den Einspracheentscheid der Öffentlichen Arbeitslosenkasse Basel-Stadt vom 22. Juni 2016 erhobenen Rechtsmittels,</w:t>
      </w:r>
    </w:p>
    <w:p>
      <w:r>
        <w:t>in Erwägung,</w:t>
      </w:r>
    </w:p>
    <w:p>
      <w:r>
        <w:t>dass gegen Entscheide über vorsorgliche Massnahmen, worunter auch jener über die aufschiebende Wirkung zu zählen ist, nur die Verletzung verfassungsmässiger Rechte gerügt werden kann ( Art. 98 BGG ; BGE 133 III 393 E. 5 S. 396 f.; SVR 2012 IV Nr. 40 S. 151 [9C_652/2011 vom 19. Januar 2012 E. 4.1]; 2007 IV Nr. 43 S. 143 [9C_191/2007 vom 8. Mai 2007]),</w:t>
      </w:r>
    </w:p>
    <w:p>
      <w:r>
        <w:t>dass das Bundesgericht die Verletzung von verfassungsmässigen Rechten nur insofern prüft, als eine solche Rüge in der Beschwerde vorgebracht und begründet worden ist ( Art. 106 Abs. 2 BGG ), andernfalls auf die Beschwerde nicht eingetreten wird ( BGE 134 I 83 E. 3.2 S. 88; 133 II 249 E. 1.4.2 S. 254; 133 IV 286 E. 1.4 S. 287 f.),</w:t>
      </w:r>
    </w:p>
    <w:p>
      <w:r>
        <w:t>dass nichts Derartiges vorgetragen ist,</w:t>
      </w:r>
    </w:p>
    <w:p>
      <w:r>
        <w:t>dass überdies auch nicht ausgeführt wird, inwiefern der angefochtene Zwischenentscheid einen nicht wieder gutzumachender Nachteil im Sinne von Art. 93 Abs. 1 lit. b BGG bewirken soll,</w:t>
      </w:r>
    </w:p>
    <w:p>
      <w:r>
        <w:t>dass damit auf die Beschwerde im vereinfachten Verfahren nach Art. 108 Abs. 1 lit. b BGG nicht einzutreten ist,</w:t>
      </w:r>
    </w:p>
    <w:p>
      <w:r>
        <w:t>dass in Anwendung von Art. 66 Abs. 1 Satz 1 BGG der Beschwerdeführerin die Gerichtskosten zu überbinden sind,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Sozialversicherungsgericht des Kantons Basel-Stadt und dem Staatssekretariat für Wirtschaft (SECO) schriftlich mitgeteilt.</w:t>
      </w:r>
    </w:p>
    <w:p>
      <w:r>
        <w:t>Luzern, 28. September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