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8C_544/2015 vom 23. November 2015</w:t>
      </w:r>
    </w:p>
    <w:p>
      <w:r>
        <w:t>Bundesgericht, 2015-11-23, DE</w:t>
      </w:r>
    </w:p>
    <w:p>
      <w:r>
        <w:rPr>
          <w:b/>
        </w:rPr>
        <w:t xml:space="preserve">Quelle: </w:t>
      </w:r>
      <w:r>
        <w:t>https://mcp.opencaselaw.ch/entscheid/bger_8C_544_2015</w:t>
      </w:r>
    </w:p>
    <w:p>
      <w:r>
        <w:t>FR: TF 8C_544/2015 du 23 novembre 2015</w:t>
      </w:r>
    </w:p>
    <w:p>
      <w:r>
        <w:t>IT: TF 8C_544/2015 del 23 novembre 2015</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2.1</w:t>
      </w:r>
    </w:p>
    <w:p>
      <w:r>
        <w:t>Die Beschwerde in öffentlich-rechtlichen Angelegenheiten kann wegen Rechtsverletzung gemäss Art. 95 f. BGG erhoben werden. Der vorinstanzliche Entscheid stützt sich in der Sache auf kantonales Recht. Als Beschwerdegrund kommt deshalb hauptsächlich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verstösst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261 f. ; 129 I 113 E. 2.1 S. 120; je mit Hinweisen; Urteile 8C_787/2011 vom 28. Februar 2012 E. 2.1 und 8C_294/2011 vom 29. Dezember 2011 E. 2.1, nicht publ. in: BGE 138 I 113 ).</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(Urteile 8C_787/2011 vom 28. Februar 2012 E. 2.2 und 8C_294/2011 vom 29. Dezember 2011 E. 2.2 mit Hinweisen, nicht publ. in: BGE 138 I 113 ).</w:t>
      </w:r>
    </w:p>
    <w:p>
      <w:r>
        <w:rPr>
          <w:b/>
        </w:rPr>
        <w:t>E. 3</w:t>
      </w:r>
    </w:p>
    <w:p>
      <w:r>
        <w:t>Gegenstand des Verfahrens bildet der Anspruch auf Sozialhilfe gemäss Verfügung der Sozialhilfebehörde vom 24. September 2014 und Entscheid des DFS vom 10. Dezember 2014. Dem Bundesgericht ist es entsprechend Art. 105 Abs. 2 BGG verwehrt, das Verfahren über den vorinstanzlich vorgegebenen Streit- und Anfechtungsgegenstand auszuweiten. Soweit daher der Beschwerdeführer über den Anspruch auf Sozialhilfeleistungen der Fürsorgebehörde Bischofszell hinausgehende Begehren zum Prozessthema erheben will, ist darauf nicht einzutreten.</w:t>
      </w:r>
    </w:p>
    <w:p>
      <w:r>
        <w:rPr>
          <w:b/>
        </w:rPr>
        <w:t>E. 4.1</w:t>
      </w:r>
    </w:p>
    <w:p>
      <w:r>
        <w:t>Im angefochtenen Entscheid wurde unter Hinweis auf die massgebliche Rechtslage (so insbesondere §§ 8 und 25 Abs. 1 und 3 des Gesetzes des Kantons Thurgau vom 29. März 1984 über die öffentliche Sozialhilfe [Sozialhilfegesetz; SHG; RB 850.1]) eingehend erwogen, es sei nicht zu beanstanden, die wirtschaftliche Hilfe des Beschwerdeführers vollständig einzustellen. Der Beschwerdeführer sei wiederholt darauf hingewiesen worden, dass er seine Einkommens- und Vermögensverhältnisse umfassend darzulegen habe. Dieser Mitwirkungspflicht sei er offensichtlich nicht nachgekommen. Immer wieder seien neue Fakten, Einnahmen und Tätigkeiten bekannt geworden, die er gegenüber den Behörden verschwiegen habe. Der Beschwerdeführer betreibe unter anderem einen Onlineshop und führe für verschiedene Telefonhotlines Lebensberatungen durch. Einnahmen deklariere er wiederholt als Investorengelder, ohne sich jedoch zu deren Herkunft zu äussern. Weiter behaupte er wenig glaubwürdig, für geleistete Dienste (Import von Autoteilen, Service am Auto, Webdesign, Botengänge für Bekannte, Übersetzungen) keinerlei oder kaum Entgelt zu erhalten. Auf von der Gemeinde angebotene Vergünstigungen ("Tischlein-deck-dich" Karte) habe er freiwillig verzichtet. Aus diesen Umständen schloss die Vorinstanz, der Beschwerdeführer sei nicht bedürftig. Da er grundsätzlich arbeitsfähig und in der Lage sei, seinen Lebensunterhalt zu bestreiten, ging das kantonale Gericht davon aus, dass die Sozialhilfebehörde die Leistungen einstellen durfte, ohne gegen kantonales Recht und das in Art. 12 BV geschützte Recht auf wirtschaftliche Hilfe in Notlagen zu verstossen.</w:t>
      </w:r>
    </w:p>
    <w:p>
      <w:r>
        <w:rPr>
          <w:b/>
        </w:rPr>
        <w:t>E. 4.2</w:t>
      </w:r>
    </w:p>
    <w:p>
      <w:r>
        <w:t>Was dagegen in der Beschwerde vorgebracht wird, vermag, soweit überhaupt den qualifizierten Anforderungen gemäss Art. 42 Abs. 2 in Verbindung mit Art. 106 Abs. 2 BGG genügend, die durch das Bundesgericht nur eingeschränkt überprüfbaren vorinstanzlichen Feststellungen nicht in einem willkürlichen oder sonst wie qualifiziert rechtsfehlerhaften Licht erscheinen zu lassen. Zwar ruft der Beschwerdeführer zahlreiche Verfassungs- und Völkerrechtsbestimmungen an, ohne indessen in geeigneter Weise aufzuzeigen, inwiefern diese im konkreten Fall durch den vorinstanzlichen Entscheid verletzt sein sollen. Ebenso wenig ist solches erkennbar.</w:t>
      </w:r>
    </w:p>
    <w:p>
      <w:r>
        <w:rPr>
          <w:b/>
        </w:rPr>
        <w:t>E. 5</w:t>
      </w:r>
    </w:p>
    <w:p>
      <w:r>
        <w:t>Bezüglich der vom Beschwerdeführer gerügten Verweigerung der unentgeltlichen Rechtsverbeiständung durch die Vorinstanz bringt dieser nichts vor, was die vom kantonalen Gericht vertretene Auffassung als rechtswidrig erscheinen liesse. Dieses begründete die Abweisung des Gesuchs damit, dass grundsätzlich nur im Anwaltsregister des Kantons Thurgau eingetragene Anwälte als unentgeltliche Vertreter zugelassen seien, was hinsichtlich der vom Beschwerdeführer mandatierten Rechtsvertreterin nicht der Fall sei. Gründe für eine ausnahmsweise Zulassung würden weder genannt noch seien solche ersichtlich.</w:t>
      </w:r>
    </w:p>
    <w:p>
      <w:r>
        <w:rPr>
          <w:b/>
        </w:rPr>
        <w:t>E. 6</w:t>
      </w:r>
    </w:p>
    <w:p>
      <w:r>
        <w:t>Insgesamt erweist sich die Beschwerde als offensichtlich unbegründet. Sie wird daher im vereinfachten Verfahren nach Art. 109 Abs. 2 lit. a BGG - ohne Durchführung eines Schriftenwechsels, mit summarischer Begründung und unter Verweis auf den kantonalen Entscheid ( Art. 102 Abs. 1 und Art. 109 Abs. 3 BGG - erledigt.</w:t>
      </w:r>
    </w:p>
    <w:p>
      <w:r>
        <w:rPr>
          <w:b/>
        </w:rPr>
        <w:t>E. 7</w:t>
      </w:r>
    </w:p>
    <w:p>
      <w:r>
        <w:t>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