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8C_543/2024 vom 4. Oktober 2024</w:t>
      </w:r>
    </w:p>
    <w:p>
      <w:r>
        <w:t>Bundesgericht, 2024-10-04, DE</w:t>
      </w:r>
    </w:p>
    <w:p>
      <w:r>
        <w:rPr>
          <w:b/>
        </w:rPr>
        <w:t xml:space="preserve">Quelle: </w:t>
      </w:r>
      <w:r>
        <w:t>https://mcp.opencaselaw.ch/entscheid/bger_8C_543_2024</w:t>
      </w:r>
    </w:p>
    <w:p>
      <w:r>
        <w:t>FR: TF 8C_543/2024 du 4 octobre 2024</w:t>
      </w:r>
    </w:p>
    <w:p>
      <w:r>
        <w:t>IT: TF 8C_543/2024 del 4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w:t>
      </w:r>
    </w:p>
    <w:p>
      <w:r>
        <w:rPr>
          <w:b/>
        </w:rPr>
        <w:t>E. 2</w:t>
      </w:r>
    </w:p>
    <w:p>
      <w:r>
        <w:t>Das kantonale Gericht bestätigte mit Entscheid vom 20. August 2024 den Einspracheentscheid der Beschwerdegegnerin vom 19. Februar 2024, wonach der in Deutschland wohnhaften Beschwerdeführerin keine Ergänzungsleistungen zur AHV/IV auszurichten seien. Dabei setzte es sich mit den Vorbringen der Beschwerdeführerin einlässlich auseinander.</w:t>
      </w:r>
    </w:p>
    <w:p>
      <w:r>
        <w:rPr>
          <w:b/>
        </w:rPr>
        <w:t>E. 3</w:t>
      </w:r>
    </w:p>
    <w:p>
      <w:r>
        <w:t>Die Beschwerdeführerin beschränkt sich darauf, das bereits vor Vorinstanz Vorgetragene zu wiederholen, ohne auf die diesbezüglichen Erwägungen im angefochtenen Gerichtsentscheid einzugehen. Darüber hinaus auf die schwierigen Lebensumstände wegen fehlender oder unzureichender Unterstützung durch den deutschen Staat zu verweisen, reicht mit Blick auf die eingangs geschilderte Rechtslage (E. 1)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nochmals (s. Urteil 9C_240/2021 vom 9. Juni 2021, in welchem es bereits um dieselbe Beschwerdethematik ging) auf die Erhebung von Gerichtskosten verzichtet. Indessen darf die Beschwerdeführerin bei gleichbleibender künftiger Beschwerdeführung nicht mehr mit dieser Rechtswohltat rechnen.</w:t>
      </w:r>
    </w:p>
    <w:p>
      <w:r>
        <w:t>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