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8C_543/2017 vom 22. November 2017</w:t>
      </w:r>
    </w:p>
    <w:p>
      <w:r>
        <w:t>Bundesgericht, 2017-11-22, DE</w:t>
      </w:r>
    </w:p>
    <w:p>
      <w:r>
        <w:rPr>
          <w:b/>
        </w:rPr>
        <w:t xml:space="preserve">Quelle: </w:t>
      </w:r>
      <w:r>
        <w:t>https://mcp.opencaselaw.ch/entscheid/bger_8C_543_2017</w:t>
      </w:r>
    </w:p>
    <w:p>
      <w:r>
        <w:t>FR: TF 8C_543/2017 du 22 novembre 2017</w:t>
      </w:r>
    </w:p>
    <w:p>
      <w:r>
        <w:t>IT: TF 8C_543/2017 del 22 novembre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Rentenaufhebung auf Ende des der Zustellung der Verfügung vom 12. Januar 2016 folgenden Monats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ursprünglichen Rentenverfügung bestanden hat, mit demjenigen zur Zeit der streitigen Revisionsverfügung ( BGE 134 V 131 E. 3 S. 132 f.).</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Das kantonale Gericht hat in umfassender Würdigung der medizinischen Akten für das Bundesgericht grundsätzlich verbindlich festgestellt, dass sich der Gesundheitszustand des Versicherten seit der ursprünglichen Rentenzusprache erheblich verbessert hat und er nunmehr in der Lage ist, einer angepassten Tätigkeit zu 100 % nachzugehen.</w:t>
      </w:r>
    </w:p>
    <w:p>
      <w:r>
        <w:rPr>
          <w:b/>
        </w:rPr>
        <w:t>E. 4.2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4.3</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4.4</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eventueller gesundheitlicher Beeinträchtigungen verbleibenden Arbeitsfähigkeit zu korrigieren (vgl. auch Urteil 8C_537/2017 vom 29. September 2017 E. 5).</w:t>
      </w:r>
    </w:p>
    <w:p>
      <w:r>
        <w:rPr>
          <w:b/>
        </w:rPr>
        <w:t>E. 4.5</w:t>
      </w:r>
    </w:p>
    <w:p>
      <w:r>
        <w:t>Die Vorbringen des Beschwerdeführers zeigen keine offensichtliche Unrichtigkeit der vorinstanzlichen Schlussfolgerungen auf: Das kantonale Gericht hat in sorgfältiger Würdigung der medizinischen Unterlagen unter anderem erwogen, dass sich zwischen dem Zeitpunkt der Rentenzusprache und jenem der Rentenaufhebung die neuropsychiatrischen Defizite zurückgebildet haben. Was der Versicherte gegen diese Feststellungen vorbringt, vermag sie nicht als bundesrechtswidrig erscheinen zu lassen. Insbesondere kann er aus dem von ihm erwähnten Bericht des Dr. med. B.________, Facharzt FMH für Neurologie, vom 15. Januar 2006, nichts zu seinen Gunsten ableiten: Bereits dieser Arzt ging unter Hinweis auf die Untersuchungen durch Dr. C.________ (vgl. auch deren Bericht vom 2. Februar 2006) von einer Besserung der neuropsychiatrischen Defizite aus. Daran vermag auch der Umstand nichts zu ändern, dass der Neurologe im Widerspruch zum Urteil des ehemaligen Eidgenössischen Versicherungsgerichts U 335/02 vom 21. März 2003 von einer frühzeitigen psychogenen Überlagerung spricht; dies umso mehr, als ein krankheitswertiges psychisches Leiden im Gutachten der Ärtzlichen Begutachtungsinstituts GmbH (ABI), Basel, vom 24. März 2015 nicht mehr bestätigt wird. Entgegen den Ausführungen des Versicherten ist dieses Gutachten auch nicht in sich selber widersprüchlich.</w:t>
      </w:r>
    </w:p>
    <w:p>
      <w:r>
        <w:rPr>
          <w:b/>
        </w:rPr>
        <w:t>E. 4.6</w:t>
      </w:r>
    </w:p>
    <w:p>
      <w:r>
        <w:t>Damit durfte die Vorinstanz, ohne Bundesrecht zu verletzten, eine Verbesserung des Gesundsheitszustandes und demnach auch einen Revisionsgrund im Sinne von Art. 17 Abs. 1 ATSG bejahen. Somit ist der Rentenanspruch des Versicherten für die Zukunft neu zu prüfen. Gemäss den nicht substantiiert bestrittenen vorinstanzlichen Erwägungen ist der Beschwerdeführer nunmehr in der Lage, einer angepassten Tätigkeit zu 100 % nachzugehen. Daraus ermittelte die Vorinstanz mittels Einkommensvergleichs für die Zukunft einen rentenausschliessenden Invaliditätsgrad. Da auch dieser Einkommensvergleich vom Versicherten nicht bestritten wird, erscheint die Bestätigung der Rentenaufhebung durch das kantonale Gericht als rechtens; die Beschwerde ist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