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8C_542/2024 vom 8. November 2024</w:t>
      </w:r>
    </w:p>
    <w:p>
      <w:r>
        <w:t>Bundesgericht, 2024-11-08, DE</w:t>
      </w:r>
    </w:p>
    <w:p>
      <w:r>
        <w:rPr>
          <w:b/>
        </w:rPr>
        <w:t xml:space="preserve">Quelle: </w:t>
      </w:r>
      <w:r>
        <w:t>https://mcp.opencaselaw.ch/entscheid/bger_8C_542_2024</w:t>
      </w:r>
    </w:p>
    <w:p>
      <w:r>
        <w:t>FR: TF 8C_542/2024 du 8 novembre 2024</w:t>
      </w:r>
    </w:p>
    <w:p>
      <w:r>
        <w:t>IT: TF 8C_542/2024 del 8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am 13. Juli 2024 zugestellten Urteil vom 2. Mai 2024 in Auseinandersetzung mit den Parteivorbringen und in Würdigung der Akten dar, weshalb die Beschwerdegegnerin mit Verfügung vom 15. September 2023 den am 14. November 2021 eingereichten Antrag auf Hilflosenentschädigung für Minderjährige ablehnen durfte.</w:t>
      </w:r>
    </w:p>
    <w:p>
      <w:r>
        <w:rPr>
          <w:b/>
        </w:rPr>
        <w:t>E. 4</w:t>
      </w:r>
    </w:p>
    <w:p>
      <w:r>
        <w:t>Die Rechtsvertreterin des Beschwerdeführers zeigt in der am letzten Tag der gemäss Art. 44 - 48 und Art. 100 Abs. 1 BGG am 13. September 2024 abgelaufenen Rechtsmittelfrist eingereichten Rechtsschrift nicht hinreichend auf, inwieweit die von der Vorinstanz in diesem Zusammenhang getroffenen Sachverhaltsfeststellungen offensichtlich unrichtig im Sinne von Art. 97 Abs. 1 BGG , mithin willkürlich ( BGE 146 IV 88 E. 1.3.1 f.; 140 III 115 E. 2; je mit Hinweisen), sein sollen und die darauf beruhenden Erwägungen gegen Bundesrecht verstossen oder einen anderen Beschwerdegrund (vgl. Art. 95 lit. a-e BGG ) gesetzt haben könnten. Wohl werden einige Rechtsverletzungen geltend gemacht, jedoch nicht hinreichend sachbezogen. Allein die eigene Sichtweise darzulegen, ohne auf das von der Vorinstanz dazu Erwogene konkret einzugehen, reicht nicht aus.</w:t>
      </w:r>
    </w:p>
    <w:p>
      <w:r>
        <w:rPr>
          <w:b/>
        </w:rPr>
        <w:t>E. 5</w:t>
      </w:r>
    </w:p>
    <w:p>
      <w:r>
        <w:t>Da dieser Begründungsmangel offensichtlich ist, führt dies zu einem Nichteintreten auf das Rechtsmittel im vereinfachten Verfahren nach Art. 108 Abs. 1 lit. b BGG . Damit erübrigt es sich, das Rechtsmittel durch Ansetzung einer Nachfrist im Sinne von Art. 42 Abs. 5 BGG zusätzlich noch durch die gesetzliche Vertreterin des Beschwerdeführers unterzeichnen zu lassen, zumal dessen Rechtsanwältin zum Zeitpunkt der Beschwerdeerhebung einem befristeten Berufsverbot unterlag (vgl. Urteil 2C_321/2024 vom 24. September 2024 sowie Zwischenverfügung 2C_321/2024 vom 1. Juli 2024, E. 1.5 + Dispositiv Ziffer 1).</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