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540/2019 vom 12. November 2019</w:t>
      </w:r>
    </w:p>
    <w:p>
      <w:r>
        <w:t>Bundesgericht, 2019-11-12, DE</w:t>
      </w:r>
    </w:p>
    <w:p>
      <w:r>
        <w:rPr>
          <w:b/>
        </w:rPr>
        <w:t xml:space="preserve">Quelle: </w:t>
      </w:r>
      <w:r>
        <w:t>https://mcp.opencaselaw.ch/entscheid/bger_8C_540_2019</w:t>
      </w:r>
    </w:p>
    <w:p>
      <w:r>
        <w:t>FR: TF 8C 540/2019 du 12 novembre 2019</w:t>
      </w:r>
    </w:p>
    <w:p>
      <w:r>
        <w:t>IT: TF 8C 540/2019 del 12 novembre 2019</w:t>
      </w:r>
    </w:p>
    <w:p>
      <w:pPr>
        <w:pStyle w:val="Heading2"/>
      </w:pPr>
      <w:r>
        <w:t>Regeste</w:t>
      </w:r>
    </w:p>
    <w:p>
      <w:r>
        <w:t>Kantonale Sozialversicherung | Familienzulagen und kantonale Sozialversicherung</w:t>
      </w:r>
    </w:p>
    <w:p>
      <w:pPr>
        <w:pStyle w:val="Heading2"/>
      </w:pPr>
      <w:r>
        <w:t>Erwägungen</w:t>
      </w:r>
    </w:p>
    <w:p>
      <w:r>
        <w:rPr>
          <w:b/>
        </w:rPr>
        <w:t>E. 1.1</w:t>
      </w:r>
    </w:p>
    <w:p>
      <w:r>
        <w:t>Gemäss Art. 40 Abs. 2 BGG haben sich Parteivertreterinnnen und Parteivertreter im bundesgerichtlichen Verfahren durch eine Vollmacht auszuweisen. Die vom Vertreter der Beschwerdeführerin eingereichte Vollmacht erfüllt die Erfordernisse an eine rechtsgenügliche Vollmacht, so dass die Beschwerdeführerin rechtsgültig durch ihren Sohn vertreten ist.</w:t>
      </w:r>
    </w:p>
    <w:p>
      <w:r>
        <w:rPr>
          <w:b/>
        </w:rPr>
        <w:t>E. 1.2</w:t>
      </w:r>
    </w:p>
    <w:p>
      <w:r>
        <w:t>Die Voraussetzungen der Beschwerde in öffentlich-rechtlichen Angelegenheiten sind grundsätzlich gegeben (Art. 82 lit. a, Art. 83 e contrario , Art. 86 Abs. 1 lit. d und Abs. 2, Art. 89 Abs. 1, Art. 90 und Art. 100 Abs. 1 BGG ).</w:t>
      </w:r>
    </w:p>
    <w:p>
      <w:r>
        <w:rPr>
          <w:b/>
        </w:rPr>
        <w:t>E. 1.3</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1.4</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Mit dem angefochtenen Entscheid vom 11. Juni 2019 ist das kantonale Gericht auf eine Beschwerde des Sohnes der Beschwerdeführerin gegen einen Einspracheentscheid aus dem Bereich der Prämienverbilligung nicht eingetreten, da dieser innert der angesetzten Frist keine rechtsgenügliche Vollmacht eingereicht hat. Streitig und zu prüfen ist daher einzig die Frage, ob die Vorinstanz mit diesem Nichteintretensentscheid Bundesrecht verletzt hat. Nicht zum Streitgegenstand gehört demgegenüber die Frage, ob das kantonale Gericht genügend über das Recht auf unentgeltliche Rechtspflege informiert hat; insofern ist auf die Beschwerde nicht einzutreten.</w:t>
      </w:r>
    </w:p>
    <w:p>
      <w:r>
        <w:rPr>
          <w:b/>
        </w:rPr>
        <w:t>E. 3</w:t>
      </w:r>
    </w:p>
    <w:p>
      <w:r>
        <w:t>Die Beschwerdeführerin macht sinngemäss geltend, das vorinstanzliche Nichteintreten auf die von ihrem Sohn eingereichte Beschwerde sei als überspitzt formalistisch zu werten.</w:t>
      </w:r>
    </w:p>
    <w:p>
      <w:r>
        <w:rPr>
          <w:b/>
        </w:rPr>
        <w:t>E. 3.1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S. 158 mit Hinweisen).</w:t>
      </w:r>
    </w:p>
    <w:p>
      <w:r>
        <w:rPr>
          <w:b/>
        </w:rPr>
        <w:t>E. 3.2</w:t>
      </w:r>
    </w:p>
    <w:p>
      <w:r>
        <w:t>Es steht fest und ist unbestritten, dass der Sohn der Beschwerdeführerin im Verfahren vor Vorinstanz innerhalb der ihm angesetzten Frist keine rechtsgültige Vollmacht eingereicht hat. Allerdings kann dem Sohn nicht zum Vorwurf gemacht werden, er habe die Frist ohne Reaktion verstreichen lassen. Vielmehr hat er gegenüber dem kantonalen Gericht begründet, weshalb es ihm aufgrund der Kürze der Frist, des Gesundheitszustandes seiner Mutter und der Abwesenheit ihres Hausarztes nicht möglich gewesen ist, eine Vollmacht zu beschaffen. Damit hat er sinngemäss um Ansetzung einer Fristverlängerung ersucht. Vor diesem Hintergrund erscheint es als überspitzt formalistisch, wenn das kantonale Gericht direkt und ohne Weiterungen auf Nichteintreten auf die Beschwerde mangels rechtsgültiger Vollmacht erkannte. Ein schutzwürdiges Interesse der Verfahrensparteien oder des Gerichts an einer solchen Formstrenge ist nicht ersichtlich. Die Beschwerde ist demgemäss gutzuheissen, der kantonale Entscheid aufzuheben und die Sache an die Vorinstanz zurückzuweisen, damit diese dem Sohn eine angemessene Nachfrist zur Einreichung einer genügenden Vollmacht einräume und anschliessend über die Beschwerde neu entscheide. Bei diesem Verfahrensausgang braucht nicht näher geprüft zu werden, ob es statthaft war, dass das kantonale Gericht das Nichteintreten lediglich gegenüber dem Sohn, nicht aber auch gegenüber der Mutter androhte (vgl. dazu immerhin: MERZ, in: Basler Kommentar zum Bundesgerichtsgesetz, 3. Aufl. 2018 N 42 zu Art. 40 BGG ; KIESER, ATSG-Kommentar, 3. Aufl. 2015; N 21 zu Art. 37 ATSG und MARANTELLI/HUBER, Praxiskommentar VwVG, 2. Aufl. 2016, N 26 zu Art. 11 VwVG ).</w:t>
      </w:r>
    </w:p>
    <w:p>
      <w:r>
        <w:rPr>
          <w:b/>
        </w:rPr>
        <w:t>E. 4</w:t>
      </w:r>
    </w:p>
    <w:p>
      <w:r>
        <w:t>Entsprechend dem Ausgang des Verfahrens hat die Beschwerdegegnerin die Gerichtskosten zu tragen ( Art. 66 Abs. 1 BGG ). Damit wird das Gesuch der Beschwerdeführerin um Befreiung von den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