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539/2010 vom 21. September 2010</w:t>
      </w:r>
    </w:p>
    <w:p>
      <w:r>
        <w:t>Bundesgericht, 2010-09-21, DE</w:t>
      </w:r>
    </w:p>
    <w:p>
      <w:r>
        <w:rPr>
          <w:b/>
        </w:rPr>
        <w:t xml:space="preserve">Quelle: </w:t>
      </w:r>
      <w:r>
        <w:t>https://mcp.opencaselaw.ch/entscheid/bger_8C_539_2010</w:t>
      </w:r>
    </w:p>
    <w:p>
      <w:r>
        <w:t>FR: TF 8C 539/2010 du 21 septembre 2010</w:t>
      </w:r>
    </w:p>
    <w:p>
      <w:r>
        <w:t>IT: TF 8C 539/2010 del 21 settembre 2010</w:t>
      </w:r>
    </w:p>
    <w:p>
      <w:pPr>
        <w:pStyle w:val="Heading2"/>
      </w:pPr>
      <w:r>
        <w:t>Regeste</w:t>
      </w:r>
    </w:p>
    <w:p>
      <w:r>
        <w:t>Unfallversicherung (Einkommensvergleich) | Unfallversicherung</w:t>
      </w:r>
    </w:p>
    <w:p>
      <w:pPr>
        <w:pStyle w:val="Heading2"/>
      </w:pPr>
      <w:r>
        <w:t>Erwägungen</w:t>
      </w:r>
    </w:p>
    <w:p>
      <w:r>
        <w:rPr>
          <w:b/>
        </w:rPr>
        <w:t>E. 1</w:t>
      </w:r>
    </w:p>
    <w:p>
      <w:r>
        <w:t>Während das kantonale Gericht am 17. März 2010 bezüglich der Integritätsentschädigung einen grundsätzlich nicht anfechtbaren Teil-Zwischenentscheid fällte, befand es abschliessend über den Anspruch des Versicherten auf eine Invalidenrente. Der kantonale Entscheid stellt somit, soweit die Invalidenrente betreffend, einen (Teil-)Endentscheid dar. Auf die Beschwerde der Allianz, welche sich nur gegen die Höhe der zugesprochenen Rente richtet, ist somit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Ist eine versicherte Person infolge des Unfalles mindestens zu 10 Prozent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3.2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 BGE 129 V 472 E. 4.2.1 S. 475 mit Hinweisen).</w:t>
      </w:r>
    </w:p>
    <w:p>
      <w:r>
        <w:rPr>
          <w:b/>
        </w:rPr>
        <w:t>E. 3.3</w:t>
      </w:r>
    </w:p>
    <w:p>
      <w:r>
        <w:t>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 BGE 129 V 472 E. 4.2.3 S. 481; 126 V 75 E. 5b/bb S. 80).</w:t>
      </w:r>
    </w:p>
    <w:p>
      <w:r>
        <w:rPr>
          <w:b/>
        </w:rPr>
        <w:t>E. 4</w:t>
      </w:r>
    </w:p>
    <w:p>
      <w:r>
        <w:t>Streitig ist die Höhe der Invalidenrente des Versicherten. Die Beschwerdeführerin beanstandet hierbei lediglich die Höhe des von der Vorinstanz auf Fr. 38'247.- bemessenen Invalideneinkommens; demgegenüber sind die Höhe des versicherten Verdienstes (Fr. 59'631.30) und des Valideneinkommens (Fr. 60'155.-) nicht mehr länger streitig.</w:t>
      </w:r>
    </w:p>
    <w:p>
      <w:r>
        <w:rPr>
          <w:b/>
        </w:rPr>
        <w:t>E. 5.1</w:t>
      </w:r>
    </w:p>
    <w:p>
      <w:r>
        <w:t>Zur Bemessung des Invalideneinkommens ging das kantonale Gericht von den Zahlen der LSE 2008 aus. Es rechnete den Tabellenlohn auf eine betriebsübliche wöchentliche Arbeitszeit von 41.6 Stunden um und berücksichtigte eine Restarbeitsfähigkeit von 75 %. Vom so ermittelten Tabellenlohn nahm es zudem einen Abzug im Sinne von BGE 126 V 75 E. 5 S. 78 in der Höhe von 15 % vor.</w:t>
      </w:r>
    </w:p>
    <w:p>
      <w:r>
        <w:rPr>
          <w:b/>
        </w:rPr>
        <w:t>E. 5.2</w:t>
      </w:r>
    </w:p>
    <w:p>
      <w:r>
        <w:t>Unbestrittenermassen ist die Invalidenrente ab dem 1. Dezember 2008 geschuldet. Somit ist nicht zu beanstanden, dass die Vorinstanz ihrer Berechnung die LSE 2008 zu Grunde legte, auch wenn diese Zahlen im Zeitpunkt des Einspracheentscheides noch nicht verfügbar waren (vgl. auch Urteile 9C_130/2010 vom 14. April 2010 E. 3.3 und 8C_73/2010 vom 22. Juli 2010 E. 4.3). Daran vermag auch der Umstand nichts zu ändern, dass die Berechnung ausgehend von der LSE 2006 mit Anpassung an die Lohnentwicklung ebenfalls vertretbar gewesen wäre (vgl. Urteil 8C_781/2009 vom 22. März 2010 E. 4.3.4).</w:t>
      </w:r>
    </w:p>
    <w:p>
      <w:r>
        <w:rPr>
          <w:b/>
        </w:rPr>
        <w:t>E. 5.3</w:t>
      </w:r>
    </w:p>
    <w:p>
      <w:r>
        <w:t>Entgegen den Ausführungen der Beschwerdeführerin betrug die betriebsübliche wöchentliche Arbeitszeit im Jahre 2008 41.6 und nicht 41.7 Stunden (vgl. die Tabelle B 9.2 in: Die Volkswirtschaft 9/2010, S. 98). Der vorinstanzliche Entscheid ist somit auch diesbezüglich nicht zu beanstanden.</w:t>
      </w:r>
    </w:p>
    <w:p>
      <w:r>
        <w:rPr>
          <w:b/>
        </w:rPr>
        <w:t>E. 5.4</w:t>
      </w:r>
    </w:p>
    <w:p>
      <w:r>
        <w:t>Wie das kantonale Gericht weiter zutreffend erwogen hat, rechtfertigt sich unter Würdigung sämtlicher persönlicher und beruflicher Umstände des konkreten Einzelfalles, insbesondere aufgrund des Kriteriums "Dienstjahre", ein Abzug vom Tabellenlohn. Die Frage nach der Höhe eines grundsätzlich angezeigten Abzuges vom Tabellenlohn ist eine Ermessensfrage ( BGE 132 V 393 E. 3.3 S. 399). Da nach dem anwendbaren Prozessrecht das Bundesgericht die Angemessenheit des vorinstanzlichen Entscheides nicht überprüft (Urteil 8C_366/2007 vom 14. Januar 2008, E. 5.2.2) und vorliegend weder ein Ermessensmissbrauch noch eine Ermessensüber- oder -unterschreitung ersichtlich ist, muss es beim 15%igen Abzug gemäss vorinstanzlichem Entscheid sein Bewenden haben.</w:t>
      </w:r>
    </w:p>
    <w:p>
      <w:r>
        <w:rPr>
          <w:b/>
        </w:rPr>
        <w:t>E. 5.5</w:t>
      </w:r>
    </w:p>
    <w:p>
      <w:r>
        <w:t>Ist somit weder das Invalideneinkommen von Fr. 38'247.- noch der mittels Vergleich der Erwerbseinbusse mit dem Valideneinkommen bestimmte Invaliditätsgrad von 36 % zu beanstanden, so ist die Beschwerde abzuweisen.</w:t>
      </w:r>
    </w:p>
    <w:p>
      <w:r>
        <w:rPr>
          <w:b/>
        </w:rPr>
        <w:t>E. 6.1</w:t>
      </w:r>
    </w:p>
    <w:p>
      <w:r>
        <w:t>Das Verfahren ist kostenpflichtig ( Art. 65 BGG ). Als unterliegende Partei hat die Beschwerdeführerin die Gerichtskosten zu tragen ( Art. 66 Abs. 1 BGG ; BGE 133 V 642 E. 5). Sie hat dem Beschwerdegegner überdies eine Parteientschädigung zu entrichten ( Art. 68 Abs. 1 BGG ).</w:t>
      </w:r>
    </w:p>
    <w:p>
      <w:r>
        <w:rPr>
          <w:b/>
        </w:rPr>
        <w:t>E. 6.2</w:t>
      </w:r>
    </w:p>
    <w:p>
      <w:r>
        <w:t>Mit diesem Entscheid in der Sache wird das Gesuch um Erteilung der aufschiebenden Wirkung der Beschwerde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