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8C_538/2014 vom 6. Februar 2015</w:t>
      </w:r>
    </w:p>
    <w:p>
      <w:r>
        <w:t>Bundesgericht, 2015-02-06, DE</w:t>
      </w:r>
    </w:p>
    <w:p>
      <w:r>
        <w:rPr>
          <w:b/>
        </w:rPr>
        <w:t xml:space="preserve">Quelle: </w:t>
      </w:r>
      <w:r>
        <w:t>https://mcp.opencaselaw.ch/entscheid/bger_8C_538_2014</w:t>
      </w:r>
    </w:p>
    <w:p>
      <w:r>
        <w:t>FR: TF 8C_538/2014 du 6 février 2015</w:t>
      </w:r>
    </w:p>
    <w:p>
      <w:r>
        <w:t>IT: TF 8C_538/2014 del 6 febbraio 2015</w:t>
      </w:r>
    </w:p>
    <w:p>
      <w:pPr>
        <w:pStyle w:val="Heading2"/>
      </w:pPr>
      <w:r>
        <w:t>Erwägungen</w:t>
      </w:r>
    </w:p>
    <w:p>
      <w:r>
        <w:rPr>
          <w:b/>
        </w:rPr>
        <w:t>E. 1.1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1.2</w:t>
      </w:r>
    </w:p>
    <w:p>
      <w:r>
        <w:t>In beweisrechtlicher Hinsicht ist zu ergänzen, dass die Ergebnisse der Beweiswürdigung im Allgemeinen (vgl. Ulrich Meyer, Basler Kommentar zum Bundesgerichtsgesetz, 2. Auflage 2014, N. 34a zu Art. 105 BGG ; Markus Schott, Basler Kommentar zum Bundesgerichtsgesetz, a.a.C., N. 29 zu Art. 95 BGG ) und insbesondere die auf der Würdigung ärztlicher Berichte und Gutachten beruhenden gerichtlichen Feststellungen zum Gesundheitsschaden und zur (Rest-) Arbeitsfähigkeit ( Art. 6 und Art. 16 ATSG ) tatsächlicher Natur sind ( BGE 132 V 393 E. 3.2 S. 398 f.) und somit einer bundesgerichtlichen Korrektur nur nach Massgabe des Art. 105 Abs. 2 BGG zugänglich sind (E. 1.1 hievor). Zu den in dieser Bestimmung erwähnten, frei zu prüfenden Rechtsverletzungen im Sinne von Art. 95 BGG gehören u.a. die Missachtung der bundesrechtlichen Anforderungen an den Beweiswert ärztlicher Berichte und Gutachten ( BGE 134 V 231 E. 5.1 S. 232; 125 V 351 E. 3 S. 352 ff. je mit Hinweisen), des Untersuchungsgrundsatzes, der Pflicht zu inhaltsbezogener, umfassender, sorgfältiger und objektiver Beweiswürdigung ( Art. 61 lit. c ATSG ; BGE 132 V 393 E. 4.1 S. 400) sowie der Regeln über die antizipierte Beweiswürdigung (dazu im Einzelnen: Urteil 9C_833/2007 vom 4. Juli 2008 E. 2.2).</w:t>
      </w:r>
    </w:p>
    <w:p>
      <w:r>
        <w:rPr>
          <w:b/>
        </w:rPr>
        <w:t>E. 2.1</w:t>
      </w:r>
    </w:p>
    <w:p>
      <w:r>
        <w:t>Die Vorinstanz hat die gesetzlichen Bestimmungen und die von der Rechtsprechung entwickelten Grundsätze zur Arbeitsunfähigkeit ( Art. 6 ATSG ), Erwerbsunfähigkeit ( Art. 7 ATSG ) und Invalidität ( Art. 8 ATSG ; Art. 4 Abs. 1 IVG ) sowie zum Beweiswert medizinischer Berichte und Gutachten ( BGE 135 V 465 E. 4.3 S. 468 ff.) zutreffend dargelegt. Darauf wird verwiesen.</w:t>
      </w:r>
    </w:p>
    <w:p>
      <w:r>
        <w:rPr>
          <w:b/>
        </w:rPr>
        <w:t>E. 2.2</w:t>
      </w:r>
    </w:p>
    <w:p>
      <w:r>
        <w:t>Korrekt dargelegt hat das kantonale Gericht insbesondere auch, dass der Richter oder die Richterin bei Gerichtsgutachten nach konstanter Praxis nicht ohne zwingende Gründe von der Einschätzung der medizinischen Experten abweicht, deren Aufgabe gerade darin besteht,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zudem gerechtfertigt sein, wenn gegensätzliche Meinungsäusserungen anderer Fachexperten dem Richter oder der Richterin als triftig genug erscheinen, die Schlüssigkeit des Gerichtsgutachtens in Frage zu stellen, sei es, dass die Überprüfung durch einen Oberexperten für angezeigt erachtet wird, sei es, dass das Gericht ohne Oberexpertise vom Ergebnis des Gerichtsgutachtens abweichende Schlussfolgerungen zieht ( BGE 125 V 351 E. 3b/aa S. 352 f.).</w:t>
      </w:r>
    </w:p>
    <w:p>
      <w:r>
        <w:rPr>
          <w:b/>
        </w:rPr>
        <w:t>E. 3</w:t>
      </w:r>
    </w:p>
    <w:p>
      <w:r>
        <w:t>In umfassender Würdigung der medizinischen Akten gelangte die Vorinstanz zum Schluss, der Beschwerdegegner sei in rein somatischer Hinsicht in seiner Arbeitsfähigkeit nicht wesentlich eingeschränkt. Das ist unbestritten. Hinsichtlich des Gerichtsgutachtens des Prof. Dr. med. G.________ vom 26. August 2013 stellte das kantonale Gericht fest, auf dieses sei abzustellen. Es beruhe auf umfassenden Untersuchungen und sei in Kenntnis der Vorakten erstellt worden. Insbesondere setze sich der Gutachter auch gebührend mit weiteren fachärztlichen Stellungnahmen auseinander. Es seien keine triftigen Gründe ersichtlich, von den Erkenntnissen und Schlussfolgerungen des Gerichtsgutachters abzuweichen. Das kantonale Gericht hält den medizinischen Sachverhalt somit als dahingehend erstellt, als der Versicherte an einer Posttraumatischen Belastungsstörung (PTBS; ICD-10 F43.1) und/oder an einer andauernden Persönlichkeitsänderung nach Extrembelastung (ICD-10 F 62.0) leidet und aufgrund dessen in seiner Arbeits- und Leistungsfähigkeit zu 100 % eingeschränkt ist. Dies gilt seit März 2011. Für die Zeit davor bestand eine 50%ige Arbeitsunfähigkeit.</w:t>
      </w:r>
    </w:p>
    <w:p>
      <w:r>
        <w:rPr>
          <w:b/>
        </w:rPr>
        <w:t>E. 4</w:t>
      </w:r>
    </w:p>
    <w:p>
      <w:r>
        <w:t>Die Einwände der Beschwerde führenden IV-Stelle, die sich hauptsächlich gegen das psychiatrische Gerichtsgutachten richten, vermögen zu keinem anderen Ergebnis zu führen.</w:t>
      </w:r>
    </w:p>
    <w:p>
      <w:r>
        <w:rPr>
          <w:b/>
        </w:rPr>
        <w:t>E. 4.1</w:t>
      </w:r>
    </w:p>
    <w:p>
      <w:r>
        <w:t>Soweit die Beschwerdeführerin rügt, die Vorinstanz habe keine triftigen Gründe gehabt, ein Gerichtsgutachten einzuholen und nicht auf das Administrativgutachten des Dr. med. D.________ abzustellen, ist sie nicht zu hören. Das Bundesrecht schreibt nicht vor, wie die einzelnen Beweismittel zu würdigen sind.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 BGE 125 V 351 E. 3a S. 352). Der Versicherte legte der Beschwerdeführerin bereits im Administrativverfahren einen Bericht über eine konsiliarische Untersuchung des Dr. med. I.________, Facharzt für Psychiatrie und Psychotherapie FMH, vom 9. April 2011 vor, in welchem sich der Arzt nicht nur zu den eigenen Untersuchungsergebnissen äusserte, sondern auch die Differenzen zur Begutachtung des Dr. med. D.________ aufzeigte. Dass die Vorinstanz bei dieser Sachlage zur Erkenntnis gelangte, es bedürfe der Einschätzung eines weiteren medizinischen Experten, welcher seine Fachkenntnisse der Gerichtsbarkeit zur Verfügung stellt, um den Sachverhalt medizinisch zu erfassen, ist nicht zu beanstanden. Weiter ist zu beachten, dass das kantonale Gericht in mustergültiger Art das Gerichtsgutachten vom 26. August 2013 den Parteien nicht nur zur Stellungnahme unterbreitete, sondern die von der heutigen Beschwerdeführerin mit dieser eingereichten Einwände des RAD am Gutachten nochmals dem Experten unterbreitete. Sie durfte auf das überzeugend vorgetragene Fachwissen des Prof. Dr. med. G.________ abstellen (BGE a.a.O. E. 3b/aa S. 352 f.).</w:t>
      </w:r>
    </w:p>
    <w:p>
      <w:r>
        <w:rPr>
          <w:b/>
        </w:rPr>
        <w:t>E. 4.2</w:t>
      </w:r>
    </w:p>
    <w:p>
      <w:r>
        <w:t>Soweit die IV-Stelle das Gutachten vom 26. August 2013, inklusive die zusätzliche Stellungnahme des Gutachters vom 20. November 2013, sowie die darin gezogenen Schlussfolgerungen und die gestellten Diagnosen, wie auch die vorinstanzliche Würdigung dieses Gutachtens rügt, handelt es sich weitgehend um eine im Rahmen der gesetzlichen Überprüfungsbefugnis des Bundesgerichts (E. 1.2 hievor) unzulässige appellatorische Kritik. Darauf ist nicht weiter einzugehen.</w:t>
      </w:r>
    </w:p>
    <w:p>
      <w:r>
        <w:rPr>
          <w:b/>
        </w:rPr>
        <w:t>E. 4.2.1</w:t>
      </w:r>
    </w:p>
    <w:p>
      <w:r>
        <w:t>Insbesondere geht es nicht an, die vom Gutachter gestellte Diagnose eines PTBS letztinstanzlich nur darum in Zweifel zu ziehen, weil diese nach Ansicht der Beschwerdeführerin mit einer Latenz von mehreren Jahren aufgetreten sein soll. Im angefochtenen Entscheid wird dargelegt, weshalb die diesbezüglichen Ausführungen des Experten, welche dieser auch mit Fachliteratur unterlegte, für das Gericht überzeugend waren. Zwingende Gründe, welche es rechtsprechungsgemäss erforderten, von einer derart gewonnenen medizinischen Diagnosestellung abzuweichen (vgl. E. 2.2 hievor), sind nicht ersichtlich. Sie deckt sich zudem mit allen anderen involvierten behandelnden und begutachtenden Ärzten. Selbst Dr. med. D.________ stellte die Diagnose eines PTBS.</w:t>
      </w:r>
    </w:p>
    <w:p>
      <w:r>
        <w:rPr>
          <w:b/>
        </w:rPr>
        <w:t>E. 4.2.2</w:t>
      </w:r>
    </w:p>
    <w:p>
      <w:r>
        <w:t>Weiter rügt die IV-Stelle, das Gutachten vom 26. August 2013 leuchte in der Darlegung der Zusammenhänge nicht ein, da neben einer PTBS auch eine andauernde Persönlichkeitsänderung nach Extrembelastung diagnostiziert werde. Diese Diagnosen schlössen sich jedoch gegenseitig aus. Das kantonale Gericht hat auch diesen Einwand bereits geprüft und dargelegt, dass die Frage, welche der beiden Diagnosen vorliegend zutreffe, offen gelassen werden könne. Daran, dass der Versicherte im ehemaligen Jugoslawien traumatische Kriegserfahrungen gemacht habe, selbst durch einen Granatsplitter an der linken Lunge verletzt wurde, was eine operative Teilresektion zur Folge hatte, miterleben musste, wie der Kamerad, der ihm selbst das Leben rettete, getötet wurde, etc., als Belastung katastrophalen Ausmasses einzuschätzen sei, sei auch gemäss der übereinstimmenden Auffassung sämtlicher Fachärzte nicht zu zweifeln. Die exakte Diagnose der psychischen Krankheit sei denn auch grundsätzlich nicht entscheidend. Vielmehr komme es auf deren Auswirkungen auf die Arbeits- bzw. Erwerbsfähigkeit der versicherten Person an. Gemäss ICD-10-GM-2014 kann eine PTBS (F43.1) in wenigen Fällen über viele Jahre einen chronischen Verlauf nehmen und dann in eine andauernde Persönlichkeitsänderung nach Extrembelastung (F62.0) übergehen. Es liegt auf der Hand, dass es dabei zu einer Übergangsphase kommen kann, in welcher die Merkmale beider Diagnosen erfüllt sind. Das ist gemäss dem als relevant erkannten Gerichtsgutachten der Fall. Die IV-Stelle zeigt nicht auf, inwiefern die Sachverhaltsfeststellung der Vorinstanz, der Versicherte sei aufgrund seines PTBS respektive einer andauernden Persönlichkeitsänderung nach Extrembelastung in seiner Arbeits- und Leistungsfähigkeit zu 100 % eingeschränkt, offensichtlich unrichtig ist oder auf einer Verletzung von Bundesrecht beruht.</w:t>
      </w:r>
    </w:p>
    <w:p>
      <w:r>
        <w:rPr>
          <w:b/>
        </w:rPr>
        <w:t>E. 4.2.3</w:t>
      </w:r>
    </w:p>
    <w:p>
      <w:r>
        <w:t>Die Beschwerdeführerin legt Wert auf die diagnostische Differenz zwischen einem PTBS und einer andauernden Persönlichkeitsänderung, weil erstere ihres Erachtens ein sogenanntes "pathogenetisch (ätiologisch) unklares syndromales Beschwerdebild" darstelle, welches eine invalidenversicherungsrechtlich nicht als relevant geltende Beeinträchtigung der Erwerbsfähigkeit zur Folge habe, wenn die versicherte Person diese zumutbarerweise willentlich zu überwinden vermöchte ( BGE 130 V 352 E. 2.2.1 S. 353 mit Hinweisen). Da, wie die Vorinstanz verbindlich feststellte, beide Diagnosen zutreffen, erübrigt sich eine Auseinandersetzung mit der Frage, ob eine PTBS überhaupt zu den genannten Beschwerdebildern zu zählen ist, und damit, ob an der Rechtsprechung, wie sie unter anderem in Urteil 8C_483/2012 vom 4. Dezember 2012 in E. 4.2 angeführt wurde, festzuhalten ist. Auch die Beschwerdeführerin geht nicht davon aus, dass eine andauernde Persönlichkeitsänderung nach Extrembelastung (F62.0) eine Diagnose darstellt, auf welche die Rechtsprechung gemäss BGE 130 V 352 Anwendung findet. Damit musste das kantonale Gericht von Prof. Dr. med. G.________ auch nicht abklären lassen, ob die entsprechenden Überwindungskriterien erfüllt sind. Es hat auch diesbezüglich den Untersuchungsgrundsatz nicht verletzt.</w:t>
      </w:r>
    </w:p>
    <w:p>
      <w:r>
        <w:rPr>
          <w:b/>
        </w:rPr>
        <w:t>E. 5</w:t>
      </w:r>
    </w:p>
    <w:p>
      <w:r>
        <w:t>Weiter bringt die Beschwerdeführerin vor, das kantonale Gericht habe den Untersuchungsgrundsatz nach Art. 61c ATSG und damit Bundesrecht verletzt, weil es nicht abgeklärt habe, ob der Versicherte als Zwangsrekrutierter oder als Freiwilliger im Bosnienkrieg gekämpft habe. Sollte Letzteres der Fall sein, so hätte der Beschwerdegegner nach Ansicht der IV-Stelle eine gesundheitliche Schädigung durch den Krieg in Kauf genommen oder wenigstens für möglich gehalten und so seinen Gesundheitsschaden eventualvorsätzlich gebilligt. Diesfalls könnten Rentenleistungen in Anwendung von Art. 21 Abs. 1 ATSG gekürzt oder verweigert werden.</w:t>
      </w:r>
    </w:p>
    <w:p>
      <w:r>
        <w:rPr>
          <w:b/>
        </w:rPr>
        <w:t>E. 5.1</w:t>
      </w:r>
    </w:p>
    <w:p>
      <w:r>
        <w:t>Gemäss Art. 21 Abs. 1 ATSG können Geldleistungen vorübergehend oder dauernd gekürzt oder in schweren Fällen verweigert werden, wenn die versicherte Person den Versicherungsfall vorsätzlich oder bei vorsätzlicher Ausübung eines Verbrechens oder Vergehens herbeigeführt oder verschlimmert hat.</w:t>
      </w:r>
    </w:p>
    <w:p>
      <w:r>
        <w:rPr>
          <w:b/>
        </w:rPr>
        <w:t>E. 5.2</w:t>
      </w:r>
    </w:p>
    <w:p>
      <w:r>
        <w:t>Die Frage nach einer möglichen Leistungskürzung oder Verweigerung gemäss Art. 21 Abs. 1 ATSG war in der den Rentenantrag abweisenden Verfügung vom 20. Oktober 2011 naturgemäss nicht Gegenstand des Verfahrens. Indessen ersuchte die Beschwerdeführerin das kantonale Gericht bereits in ihrer Stellungnahme zum Gutachten vom 26. August 2013 (Schreiben vom 11. September 2013) um weitere diesbezügliche Abklärungen. Da Streitgegenstand des vorinstanzlichen Entscheides der Anspruch auf eine Invalidenrente war, stellt auch die Leistungskürzung oder -verweigerung einen Teilaspekt dar, welche die Leistung bestimmt. Argumente zu Teilaspekten des Streitgegenstandes können auch letztinstanzlich vorgebracht werden, weshalb auf die beschwerdeführerische Argumentation einzutreten ist (vgl. BGE 136 V 362 E. 3.4. S. 3.6.5 f.).</w:t>
      </w:r>
    </w:p>
    <w:p>
      <w:r>
        <w:rPr>
          <w:b/>
        </w:rPr>
        <w:t>E. 5.3</w:t>
      </w:r>
    </w:p>
    <w:p>
      <w:r>
        <w:t>Vorliegend steht eine Herbeiführung des Gesundheitsschadens und damit des Versicherungsfalles bei der vorsätzlichen Ausübung eines Verbrechens oder Vergehens auch dann nicht zur Diskussion, wenn der Beschwerdegegner in einer milizähnlichen Struktur, einem Freiwilligenverband, in den Jahren 1992/93 am Bosnienkrieg teilgenommen hätte. Dass die Teilnahme selbst ein Verbrechen oder Vergehen darstelle, behauptet selbst die Beschwerdeführerin nicht. Als Kürzungstatbestand käme damit allerhöchstens die vorsätzliche Herbeiführung des Gesundheitsschadens in Betracht. Ein grobfahrlässiges gesundheitsschädigendes Verhalten kann nicht (mehr) mit einer Kürzung oder Leistungsverweigerung sanktioniert werden (Wegfall von Art. 7 Abs. 1 aIVG [in Kraft bis Ende 2002]). Eine (bloss) schädliche Lebensführung ist im Rahmen von Art. 21 Abs. 1 ATSG belanglos, weil ein gesundheitsschädigendes Verhalten an sich, wenn es nicht mit deliktischen Tätigkeiten einhergeht, straflos ist und die vorsätzliche invalidisierende Gesundheitsschädigung im Sinne eines Eventualvorsatzes, in der Praxis beweismässig kaum zu erbringen ist ( MEYER/REICHMUTH, Rechtsprechung des Bundesgerichts zum IVG, 3. Aufl. 2014, Art. 7 - 7b N. 24 S. 89). Da es sich um eine anspruchsvernichtende Tatsache handelt, trägt die Versicherung die Beweislast. Die IV-Stelle müsste vorliegend also nicht nur beweisen, dass der Beschwerdegegner sich freiwillig für den militärischen Kriegsdienst im Bosnienkrieg gemeldet hatte (was alleine mehr als zwanzig Jahre nach dem Geschehen kaum mehr zu eruieren sein dürfte), sondern auch, dass sich sein (damaliger) Vorsatz auf eine (mögliche) Körperschädigung/Invalidisierung (Artefakt, namentlich um Versicherungsleistungen zu erlangen; vgl. MEYER/REICHMUTH, a.a.O. N. 22 S. 88) bezog. Da das kaum gelingen kann, durfte die Vorinstanz in antizipierter Beweiswürdigung ( BGE 132 V 393 E. 3.2 S. 397; nicht publ. E. 4.1 des Urteils BGE 135 V 254 , in SVR 2009 IV Nr. 53 S. 164 [9C_204/2009]) von weiteren Beweismassnahmen absehen. Die Beschwerde ist abzuweisen.</w:t>
      </w:r>
    </w:p>
    <w:p>
      <w:r>
        <w:rPr>
          <w:b/>
        </w:rPr>
        <w:t>E. 6</w:t>
      </w:r>
    </w:p>
    <w:p>
      <w:r>
        <w:t>Ausgangsgemäss ist die Beschwerdeführerin kostenpflichtig ( Art. 66 Abs. 1 BGG ). Die Beschwerdeführerin hat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