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8C_536/2015 vom 22. Dezember 2015</w:t>
      </w:r>
    </w:p>
    <w:p>
      <w:r>
        <w:t>Bundesgericht, 2015-12-22, DE</w:t>
      </w:r>
    </w:p>
    <w:p>
      <w:r>
        <w:rPr>
          <w:b/>
        </w:rPr>
        <w:t xml:space="preserve">Quelle: </w:t>
      </w:r>
      <w:r>
        <w:t>https://mcp.opencaselaw.ch/entscheid/bger_8C_536_2015</w:t>
      </w:r>
    </w:p>
    <w:p>
      <w:r>
        <w:t>FR: TF 8C_536/2015 du 22 décembre 2015</w:t>
      </w:r>
    </w:p>
    <w:p>
      <w:r>
        <w:t>IT: TF 8C_536/2015 del 22 dicembre 2015</w:t>
      </w:r>
    </w:p>
    <w:p>
      <w:pPr>
        <w:pStyle w:val="Heading2"/>
      </w:pPr>
      <w:r>
        <w:t>Erwägungen</w:t>
      </w:r>
    </w:p>
    <w:p>
      <w:r>
        <w:rPr>
          <w:b/>
        </w:rPr>
        <w:t>E. 1.1</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w:t>
      </w:r>
    </w:p>
    <w:p>
      <w:r>
        <w:rPr>
          <w:b/>
        </w:rPr>
        <w:t>E. 1.2</w:t>
      </w:r>
    </w:p>
    <w:p>
      <w:r>
        <w:t>Hinsichtlich der Verletzung von Grundrechten - einschliesslich der willkürlichen Anwendung von kantonalem Recht und Willkür bei der Sachverhaltsfeststellung - gilt der in Art. 106 Abs. 1 BGG verankerte Grundsatz der Rechtsanwendung von Amtes wegen nicht, weshalb insofern eine qualifizierte Rügepflicht besteht ( Art. 106 Abs. 2 BGG ; BGE 138 I 171 E. 1.4 S. 176 ; 136 I 65 E. 1.3.1 S. 68; 133 II 249 E. 1.4.2 S. 254). Hierzu gelten qualifizierte Begründungsanforderungen: In der Beschwerde ist klar und detailliert anhand der Erwägungen des angefochtenen Entscheids darzulegen, inwiefern die angerufenen Rechte verletzt worden sein sollen. Wird eine solche Rüge nicht vorgebracht, kann das Bundesgericht eine Beschwerde selbst dann nicht gutheissen, wenn eine Grundrechtsverletzung tatsächlich vorliegt ( BGE 139 I 229 E. 2.2 S. 232 mit Hinweisen). Auf rein appellatorische Kritik am angefochtenen Entscheid tritt das Bundesgericht nicht ein ( BGE 140 III 264 E. 2.3 S. 266; 139 II 404 E. 10.1 S. 445; je mit Hinweisen).</w:t>
      </w:r>
    </w:p>
    <w:p>
      <w:r>
        <w:rPr>
          <w:b/>
        </w:rPr>
        <w:t>E. 2.1</w:t>
      </w:r>
    </w:p>
    <w:p>
      <w:r>
        <w:t>Das kantonale Gericht hat im angefochtenen Entscheid unter Hinweis auf die massgebliche Rechtslage (so insbesondere Art. 12 BV , Art. 12 der Verfassung des Kantons St. Gallen vom 10. Juni 2001 [KV; sGS 111.1], Art. 9, 12 und 15 des Sozialhilfegesetzes des Kantons St. Gallen vom 27. September 1998 [SHG; sGS 381.1]), die Rechtsprechung ( BGE 139 I 218 ; 133 V 353 E. 4.2 S. 357 ; 130 I 71 ; Urteil 8C_787/2011 vom 28. Februar 2012 E. 3.2.1) und die Richtlinien für die Ausgestaltung und Bemessung der Sozialhilfe der Schweizerischen Konferenz für Sozialhilfe (SKOS-Richtlinien) sowie die Praxishilfe der St. Gallischen Konferenz der Sozialhilfe (KOS-Praxishilfe) erwogen, das Beschäftigungsprogramm der Firma B.________ erscheine - auch mit Blick auf die Einwendungen des Beschwerdeführers hinsichtlich der tiefen Entlöhnung, der Anstellungsbedingungen und der zeitlichen Verfügbarkeit - objektiv betrachtet als zumutbar. Verzichte ein Sozialhilfeempfänger darauf, diese Einkommensquelle auszuschöpfen, dürfe deshalb die finanzielle Sozialhilfe mit dem Hinweis auf das Subsidiaritätsprinzip während der vorgesehenen Beschäftigungsdauer in der Höhe des dort bei einem 50 Prozent Pensum garantierten Mindesteinkommens von Fr. 500.- grundsätzlich eingestellt werden. Zudem sei die Massnahme konkret auch dem unbestrittenermassen arbeitsfähigen Beschwerdeführer zumutbar, zumal dieser nicht geltend mache, der Arbeitspflicht stünden familiäre Pflichten oder gesundheitliche Gründe entgegen. Auch wenn seine Bemühungen in den vorangegangenen Jahren, abgesehen von punktuellen Engagements, aus den Akten nicht zu entnehmenden Gründen erfolglos gewesen seien, verfüge dieser zweifellos über die für eine Integration in den ersten Arbeitsmarkt erforderlichen intellektuellen Fähigkeiten. Zwar biete die Firma B.________ in erster Linie Beschäftigungen in den Bereichen Industrie, Gewerbe und Recycling sowie im Betrieb von Brockenhäusern an. Es sei jedoch nicht ausgeschlossen, dass der Beschwerdeführer dort auch seine Fähigkeiten im administrativen Bereich einbringen könne. Überdies stünde ihm bei einem Beschäftigungsrad von 50 Prozent genügend Zeit für die Stellensuche und für die Ausübung einer allfälligen selbständigen Tätigkeit zur Verfügung.</w:t>
      </w:r>
    </w:p>
    <w:p>
      <w:r>
        <w:rPr>
          <w:b/>
        </w:rPr>
        <w:t>E. 2.2</w:t>
      </w:r>
    </w:p>
    <w:p>
      <w:r>
        <w:t>Was der Beschwerdeführer dagegen einwendet, vermag, soweit überhaupt den qualifizierten Anforderungen gemäss Art. 42 Abs. 2 in Verbindung mit Art. 106 Abs. 2 BGG genügend, nichts zu ändern. Die vorinstanzlichen Sachverhaltsfeststellungen zur Tätigkeit in der Firma B.________ und zur Entlöhnung sind nicht bestritten. Der Beschwerdeführer macht eine Verletzung des Rechts auf freie Berufswahl geltend und zitiert dabei Art. 23 der Allgemeinen Erklärungen der Menschenrechte der Vereinten Nationen vom 10. Dezember 1948 (AEMR). Daraus ergebe sich ein einklagbares Recht auf freie Berufswahl, indem niemand gezwungen werden dürfe, Arbeiten anzunehmen oder Berufe zu ergreifen, die er oder sie ablehne (Verbot der Zwangsarbeit) und ein Anspruch auf gleichen Lohn bei gleicher Arbeit (Verbot von Lohndumping).</w:t>
      </w:r>
    </w:p>
    <w:p>
      <w:r>
        <w:t>Die Allgemeine Erklärung der Menschenrechte ist als Resolution der Generalversammlung der Vereinten Nationen rechtlich nicht verbindlich und verschafft dem Beschwerdeführer daher keine subjektiv anrufbaren Rechte ( BGE 124 III 205 E. 3a S. 206; Urteile 9C_545/2015 vom 15. Oktober 2015 E. 4.3; 2D_36/2013 vom 20. Januar 2014 E. 2.3.1; 2C_169/2008 vom 18. März 2008 E. 4.1; WALTER KÄLIN, Universeller Menschenrechtsschutz, 3. Aufl. 2013, Rz. 33 S. 14). Genügen die angebotenen Tätigkeiten dem Begriff der "zumutbaren Arbeit" im Sinne der Gesetzgebung über die Arbeitslosenversicherung, verstossen sie nicht gegen das Verbot der Zwangs- oder Pflichtarbeit. Dabei ist nicht erforderlich, dass das erzielte Einkommen den Betrag der Unterstützungsleistung übertrifft, da im Bereich der Sozialhilfe auch die Ergänzung eines nicht existenzsichernden Einkommens durch Unterstützungsleistungen sinnvoll erscheint ( BGE 130 I 71 E. 5.3 und 5.4 S. 77 f.). Die Verpflichtung zur Teilnahme an Beschäftigungsprogrammen verstösst daher grundsätzlich nicht gegen das Verbot des Arbeitszwangs (GUIDO WIZENT, Die sozialhilferechtliche Bedürftigkeit, 2014, S. 88 f.). Inwiefern die Vorinstanz Bundesrecht verletzt haben soll, wenn sie einen Einsatz in der Firma B.________ als für den Beschwerdeführer zumutbar bezeichnet hat, zeigt dieser nicht nachvollziehbar auf und ist auch nicht ersichtlich.</w:t>
      </w:r>
    </w:p>
    <w:p>
      <w:r>
        <w:rPr>
          <w:b/>
        </w:rPr>
        <w:t>E. 3</w:t>
      </w:r>
    </w:p>
    <w:p>
      <w:r>
        <w:t>Die offensichtlich unbegründete Beschwerde wird im vereinfachten Verfahren nach Art. 109 Abs. 2 lit. a BGG - ohne Durchführung des Schriftenwechsels mit summarischer Begründung unter Verweis auf den kantonalen Entscheid ( Art. 102 Abs. 1 und Art. 109 Abs. 3 BGG ) - erledigt.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