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8C_536/2010 vom 22. Oktober 2010</w:t>
      </w:r>
    </w:p>
    <w:p>
      <w:r>
        <w:t>Bundesgericht, 2010-10-22, DE</w:t>
      </w:r>
    </w:p>
    <w:p>
      <w:r>
        <w:rPr>
          <w:b/>
        </w:rPr>
        <w:t xml:space="preserve">Quelle: </w:t>
      </w:r>
      <w:r>
        <w:t>https://mcp.opencaselaw.ch/entscheid/bger_8C_536_2010</w:t>
      </w:r>
    </w:p>
    <w:p>
      <w:r>
        <w:t>FR: TF 8C_536/2010 du 22 octobre 2010</w:t>
      </w:r>
    </w:p>
    <w:p>
      <w:r>
        <w:t>IT: TF 8C_536/2010 del 22 ottobre 2010</w:t>
      </w:r>
    </w:p>
    <w:p>
      <w:pPr>
        <w:pStyle w:val="Heading2"/>
      </w:pPr>
      <w:r>
        <w:t>Erwägungen</w:t>
      </w:r>
    </w:p>
    <w:p>
      <w:r>
        <w:rPr>
          <w:b/>
        </w:rPr>
        <w:t>E. 1</w:t>
      </w:r>
    </w:p>
    <w:p>
      <w:r>
        <w:t>Das kantonale Gericht ermittelte mittels Einkommensvergleich einen Invaliditätsgrad von 20 %. Das Invalideneinkommen berechnete es auf der Grundlage der Schweizerischen Lohnstrukturerhebung 2004 des Bundesamtes für Statistik (LSE 2004). Dabei nahm es - anders als die Beschwerdeführerin - einen Abzug vom Tabellenlohn von 10 % gemäss BGE 126 V 75 vor.</w:t>
      </w:r>
    </w:p>
    <w:p>
      <w:r>
        <w:rPr>
          <w:b/>
        </w:rPr>
        <w:t>E. 2</w:t>
      </w:r>
    </w:p>
    <w:p>
      <w:r>
        <w:t>Die Beschwerdeführerin rügt, der Abzug vom Tabellenlohn gemäss BGE 126 V 75 sei nicht gerechtfertigt, weshalb der Invaliditätsgrad lediglich 11 % betrage.</w:t>
      </w:r>
    </w:p>
    <w:p>
      <w:r>
        <w:rPr>
          <w:b/>
        </w:rPr>
        <w:t>E. 2.1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nicht übersteigen ( BGE 126 V 75 E. 5b/bb-cc S. 80).</w:t>
      </w:r>
    </w:p>
    <w:p>
      <w:r>
        <w:rPr>
          <w:b/>
        </w:rPr>
        <w:t>E. 2.2</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BGE 132 V 393 E. 3.3 S. 399).</w:t>
      </w:r>
    </w:p>
    <w:p>
      <w:r>
        <w:rPr>
          <w:b/>
        </w:rPr>
        <w:t>E. 2.3</w:t>
      </w:r>
    </w:p>
    <w:p>
      <w:r>
        <w:t>Im massgeblichen Gutachten der Dermatologischen Universitäts-Klinik und Poliklinik Y.________ vom 8. April 2005 wurde dem Beschwerdegegner eine Arbeitsfähigkeit von 100 % bescheinigt, soweit Kontakte zu Substanzen mit nachgewiesener Sensibilisierung sowie Feuchtkontakte oder andere Kontakte mit Potenzial zur chronischen Irritation vermieden werden. Empfohlen wurde eine Arbeit im trockenen Milieu, wie z.B. Überwachungsarbeiten.</w:t>
      </w:r>
    </w:p>
    <w:p>
      <w:r>
        <w:t>Soweit das kantonale Gericht im Wesentlichen von diesem Zumutbarkeitsprofil ausging, ist dies nicht zu beanstanden. Zu Recht berücksichtigte es die zusätzlichen gesundheitlichen Probleme des Beschwerdegegners, insbesondere die Dermatitis artefacta, nicht. Diese stellen keine Berufskrankheiten dar.</w:t>
      </w:r>
    </w:p>
    <w:p>
      <w:r>
        <w:rPr>
          <w:b/>
        </w:rPr>
        <w:t>E. 2.4</w:t>
      </w:r>
    </w:p>
    <w:p>
      <w:r>
        <w:t>Die Vorinstanz begründet ihren Abzug vom Tabellenlohn in der Höhe von 10 % gemäss BGE 126 V 75 mit dem Argument, dem Beschwerdegegner seien lediglich noch Tätigkeiten mit den medizinisch bescheinigten Einschränkungen, das heisse in trockenem Milieu und mit eingeschränktem Metallkontakt, zumutbar. Arbeitsplätze mit Wasserkontakt kämen im gesamten Industrie- und Dienstleistungssektor vor. Möglicherweise habe der Beschwerdegegner einen tieferen Lohn in Kauf zu nehmen, weil ihm bestimmte Arbeiten in einem Betrieb, z.B. Reinigungsarbeiten, nicht zugewiesen werden könnten. Es rechtfertige sich daher ein Abzug von 10 %. Das Vorliegen weiterer Merkmale wie Alter, Dienstjahre und Nationalität/Aufenthaltskategorie verneinte das kantonale Gericht hingegen.</w:t>
      </w:r>
    </w:p>
    <w:p>
      <w:r>
        <w:rPr>
          <w:b/>
        </w:rPr>
        <w:t>E. 2.5</w:t>
      </w:r>
    </w:p>
    <w:p>
      <w:r>
        <w:t>Der Argumentation des kantonalen Gerichts kann nicht gefolgt werden. Soweit kein Kontakt mit den von den Fachärzten bescheinigten Substanzen vorliegt, bestehen keinerlei Einschränkungen in der Arbeitsfähigkeit des Beschwerdegegners. Ein Abzug gemäss BGE 126 V 75 lässt sich nicht schon damit begründen, dass der in Betracht fallende Arbeitsmarkt gesundheitsbedingt eingeschränkt ist. Vielmehr rechtfertigt sich ein Abzug nur, wenn der Versicherte auch im Rahmen einer von den Ärzten als geeignet erachteten Tätigkeit in der Leistungsfähigkeit eingeschränkt ist und deshalb mit einem reduzierten Lohn zu rechnen hat (vgl. BGE 126 V 75 E. 5a/bb S. 78). Entgegen der Annahme der Vorinstanz bietet der massgebende ausgeglichene Arbeitsmarkt ( BGE 110 V 273 E. 4b S. 276 und seitherige Entscheide) dem Beschwerdegegner hinreichend entsprechende Stellen an, bei denen er nicht mit Wasser in Kontakt kommt, wie etwa bei den von den Ärzten vorgeschlagenen Überwachungs- und Kontrolltätigkeiten.</w:t>
      </w:r>
    </w:p>
    <w:p>
      <w:r>
        <w:t>Nichts anderes lässt sich auch aus dem Urteil 8C_350/2009 vom 22. September 2009 ableiten, auf welches die Vorinstanz hinweist. In diesem Entscheid wurde die Zulässigkeit eines von der Vorinstanz gewährten Abzugs gemäss BGE 126 V 75 wegen der bereits vorgenommenen Parallelisierung der Vergleichseinkommen offen gelassen (Urteil 8C_350/2009 vom 22. September 2009 E. 2.3 in fine). Zudem lag dort eine zusätzliche Einschränkung der mechanischen Belastbarkeit der versicherten Person vor.</w:t>
      </w:r>
    </w:p>
    <w:p>
      <w:r>
        <w:t>Die Beschwerde erweist sich damit als begründet und ist gutzuheissen. Ohne Abzug vom Tabellenlohn steht dem Beschwerdegegner eine Invalidenrente bei einem Invaliditätsgrad von 11 % zu.</w:t>
      </w:r>
    </w:p>
    <w:p>
      <w:r>
        <w:rPr>
          <w:b/>
        </w:rPr>
        <w:t>E. 3</w:t>
      </w:r>
    </w:p>
    <w:p>
      <w:r>
        <w:t>Das Verfahren ist kostenpflichtig (Art. 65 Abs. 1 und Abs. 4 lit. a BGG). Die Gerichtskosten werden dem unterliegenden Beschwerdegegner auferlegt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