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8C_535/2024 vom 10. November 2025</w:t>
      </w:r>
    </w:p>
    <w:p>
      <w:r>
        <w:t>Bundesgericht, 2025-11-10, DE</w:t>
      </w:r>
    </w:p>
    <w:p>
      <w:r>
        <w:rPr>
          <w:b/>
        </w:rPr>
        <w:t xml:space="preserve">Quelle: </w:t>
      </w:r>
      <w:r>
        <w:t>https://mcp.opencaselaw.ch/entscheid/bger_8C_535_2024</w:t>
      </w:r>
    </w:p>
    <w:p>
      <w:r>
        <w:t>FR: TF 8C_535/2024 du 10 novembre 2025</w:t>
      </w:r>
    </w:p>
    <w:p>
      <w:r>
        <w:t>IT: TF 8C_535/2024 del 10 novembre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allfällige weitere rechtliche Mängel nicht geradezu offensichtlich sind ( BGE 147 I 73 E. 2.1; 145 V 57 E. 4.2, je mit Hinweis).</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"Offensichtlich unrichtig" ist mit "willkürlich" gleichzusetzen ( BGE 149 IV 57 E. 2.2). Tatfrage ist auch die Beweiswürdigung ( BGE 148 V 70 E. 5.1.1). Eine Beweiswürdigung erweist sich erst dann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II 281 E. 3.6.2).</w:t>
      </w:r>
    </w:p>
    <w:p>
      <w:r>
        <w:rPr>
          <w:b/>
        </w:rPr>
        <w:t>E. 2.1</w:t>
      </w:r>
    </w:p>
    <w:p>
      <w:r>
        <w:t>Streitig und zu prüfen ist, ob das kantonale Gericht Bundesrecht verletzte, indem es einen Rentenanspruch der Beschwerdeführerin für die Zeit ab 1. Mai 2022 verneinte.</w:t>
      </w:r>
    </w:p>
    <w:p>
      <w:r>
        <w:rPr>
          <w:b/>
        </w:rPr>
        <w:t>E. 2.2</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 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w:t>
      </w:r>
    </w:p>
    <w:p>
      <w:r>
        <w:rPr>
          <w:b/>
        </w:rPr>
        <w:t>E. 3.1</w:t>
      </w:r>
    </w:p>
    <w:p>
      <w:r>
        <w:t>Es steht aufgrund der verbindlichen vorinstanzlichen Sachverhaltsfeststellungen fest und ist letztinstanzlich unbestritten, dass die Beschwerdeführerin medizinisch-theoretisch in der Lage ist, einer Tätigkeit, die ausschliesslich von zu Hause aus ausgeübt werden kann, zu 100 % nachzugehen. Streitig ist demgegenüber die Verwertbarkeit dieser verbleibenden medizinisch-theoretischen Arbeitsfähigkeit.</w:t>
      </w:r>
    </w:p>
    <w:p>
      <w:r>
        <w:rPr>
          <w:b/>
        </w:rPr>
        <w:t>E. 3.2</w:t>
      </w:r>
    </w:p>
    <w:p>
      <w:r>
        <w:t>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(Urteil 9C_650/2015 vom 11. August 2016 E. 5.3 mit Hinweisen). Beim ausgeglichenen Arbeitsmarkt handelt es sich um eine theoretische Grösse, sodass nicht leichthin angenommen werden kann, die verbliebene Leistungsfähigkeit sei unverwertbar (Urteile 8C_442/2019 vom 20. Juli 2019 E. 4.2 und 9C_485/2014 vom 28. November 2014 E. 3.3.1).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(Urteile 9C_426/2020 vom 29. April 2021 E. 5.2 und 9C_644/2019 vom 20. Januar 2020 E. 4.2, je mit Hinweis).</w:t>
      </w:r>
    </w:p>
    <w:p>
      <w:r>
        <w:rPr>
          <w:b/>
        </w:rPr>
        <w:t>E. 3.3</w:t>
      </w:r>
    </w:p>
    <w:p>
      <w:r>
        <w:t>Rechtsprechungsgemäss weist der hier massgebliche (theoretische) ausgeglichene Arbeitsmarkt diverse Arbeitsstellen für kaufmännische Angestellte auf, welche grossmehrheitlich von zu Hause aus ausgeführt werden können (vgl. Urteil 9C_15/2020 vom 10. Dezember 2020 E. 6.2.3). Voraussetzung für eine Verwertbarkeit einer solchen Erwerbsfähigkeit ist jedoch gemäss einem im Jahre 2021 ergangenen Urteil, dass die versicherte Person in der Lage ist, zumindest sporadisch den Betrieb ihres Arbeitgebers aufzusuchen (Urteil 9C_426/2020 vom 29. April 2021 E. 5.3).</w:t>
      </w:r>
    </w:p>
    <w:p>
      <w:r>
        <w:rPr>
          <w:b/>
        </w:rPr>
        <w:t>E. 3.4</w:t>
      </w:r>
    </w:p>
    <w:p>
      <w:r>
        <w:t>Die Beschwerdeführerin macht geltend, die ihr verbliebene Arbeitsfähigkeit sei auch auf dem theoretischen ausgeglichenen Arbeitsmarkt nicht verwertbar, wobei sie sich im Wesentlichen auf die zitierte Rechtsprechung beruft. Die Beschwerdegegnerin bringt demgegenüber vor, die Telekommunikationstechniken hätten sich in den letzten Jahren rasant entwickelt und während der COVID-19-Pandemie hätten viele Arbeitgeber Möglichkeiten zu Fernarbeit geschaffen, welche auch nach Ende der Pandemiemassnahmen beibehalten worden seien. Viele Arbeitgeber hätten erkannt, dass Arbeit von zu Hause aus (sog. "Home-Office") erhebliche finanzielle Vorteile für die Arbeitgeberschaft mit sich bringe. Ob vor diesem Hintergrund daran festzuhalten ist, dass Heimarbeit nur dann verwertbar ist, wenn die versicherte Person in der Lage ist, zumindest sporadisch den Betriebe ihres Arbeitgebers aufzusuchen, erscheint zweifelhaft, braucht vorliegend indessen nicht abschliessend geprüft zu werden. Wie die Vorinstanz nämlich verbindlich festgestellt hat und von der Beschwerdeführerin letztlich selber zugestanden wird, wäre sie jedenfalls in der Lage, in Begleitung einer Vertrauensperson den Betrieb des Arbeitgebers aufzusuchen. Weshalb eine solche Vorgehensweise - welche sich ja auf spezielle Einzelfälle (Bewerbungsgespräch, erstmalige Instruktion, usw.) beschränken würde - generell unrealistisch sein sollte, ist entgegen den Ausführungen der Beschwerdeführerin nicht ersichtlich. Somit erscheinen ihr jedenfalls Tätigkeiten zumutbar, in denen ein solches Aufsuchen des Arbeitgebers konsequent nur in speziellen Einzelfällen notwendig ist. Das Finden einer solchen Arbeitsmöglichkeit erscheint, wie das kantonale Gericht zutreffend erwogen hat, nicht als unrealistisch.</w:t>
      </w:r>
    </w:p>
    <w:p>
      <w:r>
        <w:rPr>
          <w:b/>
        </w:rPr>
        <w:t>E. 3.5</w:t>
      </w:r>
    </w:p>
    <w:p>
      <w:r>
        <w:t>Somit hat die Vorinstanz kein Bundesrecht verletzt, als sie die Verwertbarkeit der der Beschwerdeführerin verbliebenen medizinisch-theoretischen Arbeitsfähigkeit bejahte. Die übrigen Aspekte des Einkommensvergleichs sind letztinstanzlich unbestritten geblieben, sodass die Beschwerde ohne Weiterungen abzuweisen ist.</w:t>
      </w:r>
    </w:p>
    <w:p>
      <w:r>
        <w:rPr>
          <w:b/>
        </w:rPr>
        <w:t>E. 4</w:t>
      </w:r>
    </w:p>
    <w:p>
      <w:r>
        <w:t>Dem Verfahrensausgang entsprechend werden die Gerichtskosten der Beschwerdeführerin auferlegt ( Art. 66 Abs. 1 Satz 1 BGG ). Ihr Gesuch um unentgeltliche Rechtspflege ist gutzuheissen, da die entsprechenden Voraussetzungen erfüllt sind ( Art. 64 Abs. 1 BGG ). Es wird indessen auf Art. 64 Abs. 4 BGG aufmerksam gemacht, wonach sie der Bundesgerichtskasse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