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8C_534/2008 vom 17. Dezember 2008</w:t>
      </w:r>
    </w:p>
    <w:p>
      <w:r>
        <w:t>Bundesgericht, 2008-12-17, DE</w:t>
      </w:r>
    </w:p>
    <w:p>
      <w:r>
        <w:rPr>
          <w:b/>
        </w:rPr>
        <w:t xml:space="preserve">Quelle: </w:t>
      </w:r>
      <w:r>
        <w:t>https://mcp.opencaselaw.ch/entscheid/bger_8C_534_2008</w:t>
      </w:r>
    </w:p>
    <w:p>
      <w:r>
        <w:t>FR: TF 8C_534/2008 du 17 décembre 2008</w:t>
      </w:r>
    </w:p>
    <w:p>
      <w:r>
        <w:t>IT: TF 8C_534/2008 del 17 dicembre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 Es darf nicht über die Begehren der Parteien hinausgehen ( Art. 107 Abs. 1 BGG ) und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und zu prüfen ist, ob der Anspruch der Beschwerdeführerin auf eine Invalidenrente zu Recht auf den 30. Juni 2004 befristet wurde.</w:t>
      </w:r>
    </w:p>
    <w:p>
      <w:r>
        <w:rPr>
          <w:b/>
        </w:rPr>
        <w:t>E. 2.1</w:t>
      </w:r>
    </w:p>
    <w:p>
      <w:r>
        <w:t>Die streitige Verfügung datiert vom 15. August 2007, weshalb die am 1. Januar 2008 in Kraft getretenen Änderungen des IVG vom 6. Oktober 2006 und der IVV vom 28. September 2007 (5. IV-Revision) nicht anwendbar sind ( BGE 131 V 329 E. 4.6 S. 337).</w:t>
      </w:r>
    </w:p>
    <w:p>
      <w:r>
        <w:rPr>
          <w:b/>
        </w:rPr>
        <w:t>E. 2.2</w:t>
      </w:r>
    </w:p>
    <w:p>
      <w:r>
        <w:t>Die Vorinstanz hat die Bestimmungen und Grundsätze über die Invalidität ( Art. 8 Abs. 1 ATSG ; Art. 4 Abs. 1 IVG ), die Invaliditätsbemessung bei erwerbstätigen Versicherten nach der Einkommensvergleichsmethode ( Art. 16 ATSG ; Art. 28 Abs. 2 IVG ) und bei zusätzlich in einem anderen Aufgabenbereich Tätigen nach der gemischten Methode ( Art. 28 Abs. 2ter IVG ), die Voraussetzungen und den Umfang des Rentenanspruchs ( Art. 28 Abs. 1 IVG in der seit 1. Januar 2004 geltenden Fassung),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 BGE 129 V 472 E. 4.2.1 S. 475 und E. 4.2.3 S. 481) zutreffend dargelegt. Darauf wird verwiesen.</w:t>
      </w:r>
    </w:p>
    <w:p>
      <w:r>
        <w:rPr>
          <w:b/>
        </w:rPr>
        <w:t>E. 2.3</w:t>
      </w:r>
    </w:p>
    <w:p>
      <w:r>
        <w:t>Zu ergänzen ist, dass die rückwirkend ergangene Verfügung über eine befristete oder im Sinne einer Reduktion abgestufte Invalidenrente einerseits die Zusprechung der Leistung und andererseits deren Aufhebung oder Herabsetzung umfasst. Letztere setzt voraus, dass Revisionsgründe ( Art. 17 Abs. 1 ATSG ;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 am Ende, 368 E. 2 S. 369, 113 V 273 E. 1a S. 275, 109 V 262 E. 4a S. 265, je mit Hinweisen). In anfechtungs- und streitgegenständlicher Hinsicht ist es irrelevant, ob eine rückwirkende Zusprechung einer abgestuften und/ oder befristeten Invalidenrente in einer oder in mehreren Verfügungen gleichen Datums eröffnet wird. Es gelten die Grundsätze gemäss BGE 125 V 413 ( BGE 131 V 164 E. 2.3.4 S. 166).</w:t>
      </w:r>
    </w:p>
    <w:p>
      <w:r>
        <w:rPr>
          <w:b/>
        </w:rPr>
        <w:t>E. 3</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Beachtung des Untersuchungsgrundsatzes sowie der Beweiswürdigungsregeln nach Art. 43 Abs. 1 und Art. 61 lit. c ATSG ist Rechtsfrage. Die konkrete Beweiswürdigung wie auch die antizipierte Beweiswürdigung (als Teil derselben) betreffen Tatfragen.</w:t>
      </w:r>
    </w:p>
    <w:p>
      <w:r>
        <w:rPr>
          <w:b/>
        </w:rPr>
        <w:t>E. 4.1</w:t>
      </w:r>
    </w:p>
    <w:p>
      <w:r>
        <w:t>Das kantonale Gericht hat in einlässlicher Würdigung der medizinischen Akten festgestellt, dass die Arbeitsfähigkeit der Beschwerdeführerin ein Jahr nach der ersten Hospitalisation ab März 2003 bis Ende Juni 2004 wesentlich herabgesetzt war. Ab Juli 2004, nach Entlassung aus der Psychiatrischen Klinik Z._______, sei sie hingegen für leidensangepasste Tätigkeiten wieder zu sechs Stunden täglich einsetzbar.</w:t>
      </w:r>
    </w:p>
    <w:p>
      <w:r>
        <w:rPr>
          <w:b/>
        </w:rPr>
        <w:t>E. 4.2</w:t>
      </w:r>
    </w:p>
    <w:p>
      <w:r>
        <w:t>Was die Beschwerdeführerin dagegen vorbringen lässt, vermag diese Tatsachenfeststellungen ( BGE 132 V 393 E. 3.2 S. 397) weder als offensichtlich unrichtig noch sonstwie bundesrechtswidrig erscheinen zu lassen. Das gilt insbesondere auch für die Argumentation, die behandelnden Ärzte schätzten die Arbeitsunfähigkeit der Beschwerdeführerin höher ein als die Gutachter, auf deren Einschätzung der vorinstanzliche Entscheid beruht. Das kantonale Gericht hat insbesondere auch überzeugend erklärt, dass ab Mitte Juni 2004 insofern eine Veränderung der tatsächlichen Verhältnisse eingetreten ist, als die Beschwerdeführerin zu jenem Zeitpunkt aus der Hospitalisation entlassen wurde, während welcher tatsächlich eine volle Arbeitsunfähigkeit bestand, was auch mit der Zusprechung der befristeten ganzen Rente anerkannt worden war. Soweit die Beschwerdeführerin die bereits im vorinstanzlichen Verfahren erhobenen und vom kantonalen Gericht mit zutreffender Begründung entkräfteten Vorbringen wiederholt, wird auf den angefochtenen Entscheid verwiesen. Insoweit vorgebracht wird, der Gesundheitszustand habe sich in der Zwischenzeit wieder verschlechtert, ist dieser Sachverhalt nicht im vorliegenden Verfahren zu prüfen, da darüber noch nicht verfügt wurde. Anzumerken bleibt, dass entgegen der Darstellung in der Beschwerde weder die Vorinstanz noch die IV-Stelle in der Bemessung des Invaliditätsgrades davon ausgegangen sind, die Beschwerdeführerin sei weiter als Pflegehilfe tätig. Vielmehr ist das Invalideneinkommen aufgrund statistischer Werte für Durchschnittslöhne weiblicher Hilfskräfte ermittelt worden, welche auch mit einer dem Gesundheitszustand (Adipositas per magna und Kniebeschwerden) angepassten sitzenden Tätigkeit erzielt werden können.</w:t>
      </w:r>
    </w:p>
    <w:p>
      <w:r>
        <w:rPr>
          <w:b/>
        </w:rPr>
        <w:t>E. 4.3</w:t>
      </w:r>
    </w:p>
    <w:p>
      <w:r>
        <w:t>Schliesslich lässt die Beschwerdeführerin vorbringen, es sei zu Unrecht kein sogenannter leidensbedingter Abzug von dem nicht grundsätzlich beanstandeten hypothetischen Invalideneinkommen vorgenommen worden. Konkret macht sie einen solchen von 25 % geltend.</w:t>
      </w:r>
    </w:p>
    <w:p>
      <w:r>
        <w:rPr>
          <w:b/>
        </w:rPr>
        <w:t>E. 4.3.1</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die Höhe des Abzuges im Hinblick auf Ermessensüberschreitung oder -missbrauch als Formen rechtsfehlerhafter ( Art. 95 lit. a BGG ) Ermessensbetätigung (132 V 393 E. 3.3 S. 399).</w:t>
      </w:r>
    </w:p>
    <w:p>
      <w:r>
        <w:rPr>
          <w:b/>
        </w:rPr>
        <w:t>E. 4.3.2</w:t>
      </w:r>
    </w:p>
    <w:p>
      <w:r>
        <w:t>Die Vorinstanz hat die Frage, ob es grundsätzlich gerechtfertigt sei einen Abzug vorzunehmen, offengelassen und dargelegt, dass ein solcher höchstens 10 % betragen könne, was ab Juli 2004 zu einem nicht rentenbegründenden Invaliditätsgrad von 32 % führen würde. Die Beschwerdeführerin hat nicht dargelegt, inwiefern darin eine rechtsfehlerhafte Ermessensbetätigung liegt. Damit bleibt es bei der bis Juni 2004 befristeten Rente. Die Beschwerde wird abgewiesen.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