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8C_533/2024 vom 4. Oktober 2024</w:t>
      </w:r>
    </w:p>
    <w:p>
      <w:r>
        <w:t>Bundesgericht, 2024-10-04, DE</w:t>
      </w:r>
    </w:p>
    <w:p>
      <w:r>
        <w:rPr>
          <w:b/>
        </w:rPr>
        <w:t xml:space="preserve">Quelle: </w:t>
      </w:r>
      <w:r>
        <w:t>https://mcp.opencaselaw.ch/entscheid/bger_8C_533_2024</w:t>
      </w:r>
    </w:p>
    <w:p>
      <w:r>
        <w:t>FR: TF 8C_533/2024 du 4 octobre 2024</w:t>
      </w:r>
    </w:p>
    <w:p>
      <w:r>
        <w:t>IT: TF 8C_533/2024 del 4 ottobre 2024</w:t>
      </w:r>
    </w:p>
    <w:p>
      <w:pPr>
        <w:pStyle w:val="Heading2"/>
      </w:pPr>
      <w:r>
        <w:t>Erwägungen</w:t>
      </w:r>
    </w:p>
    <w:p>
      <w:r>
        <w:rPr>
          <w:b/>
        </w:rPr>
        <w:t>E. 1</w:t>
      </w:r>
    </w:p>
    <w:p>
      <w:r>
        <w:t>Das kantonale Gericht wies mit Urteil vom 19. Juni 2024 die gegen den Nichteintretensentscheid des kantonalen Departements Gesundheit und Soziales vom 19. Dezember 2023 erhobene Beschwerde ab, soweit darauf eingetreten werden könne. Gegenstand des Verfahrens vor dem Departement war die Verfügung der Beschwerdegegnerin vom 5. Juni 2023, mit welcher sie den Beschwerdeführer ab 31. Mai 2023 bis auf Weiteres von der Sozialhilfe ausschloss.</w:t>
      </w:r>
    </w:p>
    <w:p>
      <w:r>
        <w:rPr>
          <w:b/>
        </w:rPr>
        <w:t>E. 2</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3</w:t>
      </w:r>
    </w:p>
    <w:p>
      <w:r>
        <w:t>Der Beschwerdeführer bringt nicht ansatzweise Derartiges vor. Stattdessen ruft er zahlreiche Rechtsgrundsätze an, ohne diese in einen erkennbaren Zusammenhang zu dem von der Vorinstanz Entschiedenen zu setzen. Überdies reicht es nicht aus, bereits vor dem kantonalen Gericht Vorgetragenes zu wiederholen, ohne auf dessen Erwägungen dazu einzugehen. Die Eingabe weist gesamthaft gesehen querulatorische Züge auf (siehe dazu Art. 33 Abs. 2, Art. 42 Abs. 7 und Art. 108 Abs. 1 lit. c BGG ),</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wird ausnahmsweise auf die Erhebung von Gerichtskosten verzichtet. Der Beschwerdeführer darf indessen insbesondere bei gleichbleibenden künftigen Eingaben an das Bundesgericht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