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8C_533/2007 vom 9. Januar 2008</w:t>
      </w:r>
    </w:p>
    <w:p>
      <w:r>
        <w:t>Bundesgericht, 2008-01-09, DE</w:t>
      </w:r>
    </w:p>
    <w:p>
      <w:r>
        <w:rPr>
          <w:b/>
        </w:rPr>
        <w:t xml:space="preserve">Quelle: </w:t>
      </w:r>
      <w:r>
        <w:t>https://mcp.opencaselaw.ch/entscheid/bger_8C_533_2007</w:t>
      </w:r>
    </w:p>
    <w:p>
      <w:r>
        <w:t>FR: TF 8C_533/2007 du 9 janvier 2008</w:t>
      </w:r>
    </w:p>
    <w:p>
      <w:r>
        <w:t>IT: TF 8C_533/2007 del 9 gennaio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Neue Begehren sind unzulässig ( Art. 99 Abs. 1 und 2 BGG ). Das Bundesgericht darf nicht über die Begehren der Parteien hinausgehen ( Art. 107 Abs. 1 BGG ).</w:t>
      </w:r>
    </w:p>
    <w:p>
      <w:r>
        <w:rPr>
          <w:b/>
        </w:rPr>
        <w:t>E. 2</w:t>
      </w:r>
    </w:p>
    <w:p>
      <w:r>
        <w:t>Die IV-Stelle hat in den Verfügungen vom 25. Mai/8. Juni 2005 und im Einspracheentscheid vom 28. November 2006 einzig über die Rentenherabsetzung befunden. Gleiches hat die Vorinstanz im angefochtenen Entscheid vom 12. Juni 2007 getan. Auf die Beschwerde ist somit nicht einzutreten, soweit der Versicherte eventuell die Zusprechung beruflicher Eingliederungsmassnahmen beantragt. Diesbezüglich fehlt es am Anfechtungsgegenstand ( BGE 131 V 164 E. 2.1 mit Hinweisen).</w:t>
      </w:r>
    </w:p>
    <w:p>
      <w:r>
        <w:rPr>
          <w:b/>
        </w:rPr>
        <w:t>E. 3.1</w:t>
      </w:r>
    </w:p>
    <w:p>
      <w:r>
        <w:t>Die Vorinstanz hat die Bestimmungen und Grundsätze über die Invalidität ( Art. 8 Abs. 1 ATSG ; Art. 4 Abs. 1 IVG ), die Revision der Invalidenrente ( Art. 17 ATSG ; Art. 41 IVG in der bis Ende 2002 gültig gewesenen Fassung; BGE 133 V 108 , 130 V 343 E. 3.5 S. 349; SVR 2004 IV Nr. 5 S. 13 E. 2, I 574/02), die Voraussetzungen und den Umfang des Rentenanspruchs ( Art. 28 Abs. 1 und Abs. 1bis IVG in der bis Ende 2003 gültig gewesenen sowie Art. 28 Abs. 1 IVG in der seit 1. Januar 2004 geltenden Fassung), die Invaliditätsbemessung bei erwerbstätigen Versicherten nach der Einkommensvergleichsmethode ( Art. 28 Abs. 2 IVG in der bis 31. Dezember 2002 und in der seit 1. Januar 2004 geltenden Fassung in Verbindung mit Art. 16 ATSG ), den Rentenbeginn ( Art. 29 Abs. 1 IVG ), die Ermittlung des ohne Invalidität erzielbaren Einkommens (Valideneinkommen; BGE 129 V 222 E. 4.3.1 S. 224 mit Hinweis) sowie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Gleiches gilt zum Grundsatz der freien Beweiswürdigung und zum Beweiswert von Arztberichten ( BGE 125 V 351 E. 3 S. 352, SVR 2007 UV Nr. 33 S. 111 E. 4.2, U 571/06, je mit Hinweisen). Darauf wird verwiesen.</w:t>
      </w:r>
    </w:p>
    <w:p>
      <w:r>
        <w:rPr>
          <w:b/>
        </w:rPr>
        <w:t>E. 3.2</w:t>
      </w:r>
    </w:p>
    <w:p>
      <w:r>
        <w:t>Zu ergänzen ist, dass nach Art. 82 Abs. 1 erster Satz ATSG materielle Bestimmungen dieses Gesetzes unter anderem auf die bei seinem Inkrafttreten laufenden Leistungen nicht anwendbar sind ( BGE 130 V 445 E. 1.2.1 f. S. 446 f.; Urteil 8C_189/2007 vom 25. Juni 2007, E. 3). Da der Beschwerdeführer die ganze Invalidenrente am 1. Januar 2003 (Inkrafttreten des ATSG) bereits bezog, sind der Beurteilung an sich die davor geltenden rechtlichen Bestimmungen zu Grunde zu legen. Doch zeitigt diese übergangsrechtliche Lage keinerlei materiellrechtliche Folgen, da die im ATSG enthaltenen Formulierungen der Arbeitsunfähigkeit (Art. 6), der Erwerbsunfähigkeit (Art. 7), der Invalidität (Art. 8), der Einkommensvergleichsmethode (Art. 16) sowie der Revision der Invalidenrente und anderer Dauerleistungen (Art. 17) den bisherigen von der Rechtsprechung dazu entwickelten Begriffen in der Invalidenversicherung entsprechen ( BGE 130 V 343 ).</w:t>
      </w:r>
    </w:p>
    <w:p>
      <w:r>
        <w:rPr>
          <w:b/>
        </w:rPr>
        <w:t>E. 4</w:t>
      </w:r>
    </w:p>
    <w:p>
      <w:r>
        <w:t>Die aufgrund von medizinischen Untersuchungen gerichtlich festgestellte Arbeits(un)fähigkeit ist Entscheidung über eine Tatfrage. Analoges gilt auch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 Die konkrete Beweiswürdigung stellt eine Tatfrage dar. Dagegen ist die Beachtung des Untersuchungsgrundsatzes und der Beweiswürdigungsregeln nach Art. 61 lit. c ATSG Rechtsfrage ( BGE 132 V 393 E. 3.2 und 4 S. 397 ff.; Urteil I 1048/06 vom 13. Dezember 2007, E. 3 mit Hinweisen).</w:t>
      </w:r>
    </w:p>
    <w:p>
      <w:r>
        <w:rPr>
          <w:b/>
        </w:rPr>
        <w:t>E. 5</w:t>
      </w:r>
    </w:p>
    <w:p>
      <w:r>
        <w:t>Streitig und zu prüfen ist, ob die seit 1. Januar 1999 ausgerichtete ganze Invalidenrente zu Recht revisionsweise ab 1. August 2005 auf eine Viertelsrente herabgesetzt wurde.</w:t>
      </w:r>
    </w:p>
    <w:p>
      <w:r>
        <w:rPr>
          <w:b/>
        </w:rPr>
        <w:t>E. 5.1.1</w:t>
      </w:r>
    </w:p>
    <w:p>
      <w:r>
        <w:t>Die Vorinstanz hat nach sorgfältiger Würdigung der Gutachten der Dres. med. W.________ vom 3. Dezember 2004 und E.________ vom 31. März 2005 sowie der übrigen medizinischen Akten mit einlässlicher Begründung, auf die verwiesen wird ( Art. 109 Abs. 3 BGG ), richtig festgestellt, dass dem Versicherten leidensangepasste Tätigkeiten im Umfang von sechs Stunden täglich bei einer zusätzlichen 20%igen Leistungseinschränkung zumutbar sind und damit eine Verbesserung der Arbeitsfähigkeit eingetreten ist. Diese auf ärztlichen Stellungnahmen beruhende Feststellung der Restarbeitsfähigkeit ist tatsächlicher Natur ( BGE 132 V 393 E. 3.2 S. 398).</w:t>
      </w:r>
    </w:p>
    <w:p>
      <w:r>
        <w:rPr>
          <w:b/>
        </w:rPr>
        <w:t>E. 5.1.2</w:t>
      </w:r>
    </w:p>
    <w:p>
      <w:r>
        <w:t>Der Versicherte erhebt letztinstanzlich keine Rügen, welche diese Feststellung als offensichtlich unrichtig oder auf einer Rechtsverletzung im Sinne von Art. 95 BGG beruhend erscheinen lassen (Art. 97 Abs. 1 und 105 Abs. 2 BGG). Seine Vorbringen erschöpfen sich in erster Linie in rein appellatorischer Kritik am vorinstanzlichen Entscheid. Die Vorinstanz hat zutreffend dargelegt, weshalb auf die vom Versicherten erneut angerufenen Einschätzungen der Dres. med. K.________, Innere Medizin FMH, H.________, Spezialarzt FMH für Psychiatrie und Psychotherapie und A.________, Spezialarzt FMH für Rheumaerkrankungen Physikalische Medizin und Rehabilitation, nicht abzustellen ist. Aus den neu aufgelegten Berichten der Institution X.________ vom 28. März und 19. April 2007 sowie des Dr. med. A.________ vom 8. Mai 2007 kann der Versicherte ebenfalls nichts zu seinen Gunsten ableiten, zumal darin nicht zum Grad der Arbeits(un) fähigkeit Stellung genommen wird. Nicht gefolgt werden kann dem Einwand des Versicherten, die Gutachten der Dres. med. W.________ vom 3. Dezember 2004 und E.________ vom 31. März 2005, auf welche die Vorinstanz abgestellt hat, stellten lediglich eine andere Einschätzung eines unveränderten Gesundheitszustandes dar.</w:t>
      </w:r>
    </w:p>
    <w:p>
      <w:r>
        <w:t>Bei der gegebenen Aktenlage kann zulässigerweise in antizipierter Beweiswürdigung (dazu BGE 131 I 153 E. 3 S. 157, 124 V 90 E. 4b S. 94; SVR 2005 MV Nr. 1 S. 1 E. 2.3, M 1/02) auf weitere medizinische Beweismassnahmen verzichtet werden.</w:t>
      </w:r>
    </w:p>
    <w:p>
      <w:r>
        <w:rPr>
          <w:b/>
        </w:rPr>
        <w:t>E. 5.2</w:t>
      </w:r>
    </w:p>
    <w:p>
      <w:r>
        <w:t>Verwaltung und Vorinstanz haben ausgehend von einem Valideneinkommen von Fr. 55'016.- und einem gestützt auf die LSE-Tabellen ermittelten Invalideneinkommen von Fr. 31'573.- einen Einkommensvergleich vorgenommen, der aufgerundet zu einem Invaliditätsgrad von 43 % führt. Dieser Wert ist nicht zu beanstanden (vgl. hiezu BGE 132 V 393 E. 3.3 S. 399, 130 V 121; Urteil I 865/06 vom 12. Oktober 2007, E. 7). Unbehelflich ist der pauschale Einwand des Versicherten, es sei nicht nachvollziehbar, weshalb zur Entschärfung der Situation beim Tabellenlohn nicht zumindest der volle Leidensabzug von 25 % gewährt worden sei, da er auf Grund seiner gesundheitlichen Situation mit Sicherheit erhebliche Mühe habe, auf dem freien Arbeitsmarkt eine Stelle zu finden.</w:t>
      </w:r>
    </w:p>
    <w:p>
      <w:r>
        <w:t>Der Zeitpunkt der Herabsetzung der ganzen Invalidenrente auf eine Viertelsrente auf den 1. August 2005 wird nicht gerügt und ist nicht zu bemängeln (vgl. Art. 88a Abs. 1 IVV ). Schliesslich hat die Vorinstanz richtig erwogen, dass der Versicherte ab diesem Zeitpunkt keinen Anspruch auf eine halbe Härtefallrente hat, da eine solche seit 1. Januar 2004 (Inkraftreten der 4. IV-Revsion) nicht mehr vorgesehen ist und es vorliegend nicht um die Besitzstandswahrung einer halben Härtefallrente gehen kann (vgl. lit. d der Schlussbestimmungen der Änderung vom 21. März 2003 [4. IV-Revsion]). Das Vorbringen des Versicherten, es sei nicht nachvollziehbar, weshalb nicht zumindest eine solche zugesprochen worden sei, ist nicht stichhaltig.</w:t>
      </w:r>
    </w:p>
    <w:p>
      <w:r>
        <w:rPr>
          <w:b/>
        </w:rPr>
        <w:t>E. 6</w:t>
      </w:r>
    </w:p>
    <w:p>
      <w:r>
        <w:t>Da die Beschwerde, soweit nicht unzulässig,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