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532/2019 vom 17. September 2019</w:t>
      </w:r>
    </w:p>
    <w:p>
      <w:r>
        <w:t>Bundesgericht, 2019-09-17, FR</w:t>
      </w:r>
    </w:p>
    <w:p>
      <w:r>
        <w:rPr>
          <w:b/>
        </w:rPr>
        <w:t xml:space="preserve">Quelle: </w:t>
      </w:r>
      <w:r>
        <w:t>https://mcp.opencaselaw.ch/entscheid/bger_8C_532_2019</w:t>
      </w:r>
    </w:p>
    <w:p>
      <w:r>
        <w:t>FR: TF 8C 532/2019 du 17 septembre 2019</w:t>
      </w:r>
    </w:p>
    <w:p>
      <w:r>
        <w:t>IT: TF 8C 532/2019 del 17 settembre 2019</w:t>
      </w:r>
    </w:p>
    <w:p>
      <w:pPr>
        <w:pStyle w:val="Heading2"/>
      </w:pPr>
      <w:r>
        <w:t>Regeste</w:t>
      </w:r>
    </w:p>
    <w:p>
      <w:r>
        <w:t>Allocation familiale (condition de recevabilité) | Allocation familiale et assurance sociale cantonale</w:t>
      </w:r>
    </w:p>
    <w:p>
      <w:pPr>
        <w:pStyle w:val="Heading2"/>
      </w:pPr>
      <w:r>
        <w:t>Volltext</w:t>
      </w:r>
    </w:p>
    <w:p>
      <w:r>
        <w:t>Bundesgericht III. Öffentlich-rechtliche Abteilung 17.09.2019 8C 532/2019 (8C_532/2019) Tribunal fédéral IIIe Cour de droit public (Ire Cour de droit social) 17.09.2019 8C 532/2019 (8C_532/2019) Tribunale federale III Corte di diritto pubblico (I Corte di diritto sociale) 17.09.2019 8C 532/2019 (8C_532/2019)</w:t>
      </w:r>
    </w:p>
    <w:p>
      <w:r>
        <w:t>Allocation familiale (condition de recevabilité) | Allocation familiale et assurance sociale cantonale</w:t>
      </w:r>
    </w:p>
    <w:p>
      <w:r>
        <w:t>Bundesgericht Tribunal fédéral Tribunale federale Tribunal federal 8C_532/2019 Arrêt du 17 septembre 2019 Ire Cour de droit social Composition M. le Juge fédéral Abrecht, en qualité de juge unique. Greffière : Mme Paris. Participants à la procédure A.________, recourant, contre Caisse de compensation du Canton de Fribourg, impasse de la Colline 1, 1762 Givisiez, intimée. Objet Allocation familiale (condition de recevabilité), recours contre le jugement de la Cour des assurances sociales du Tribunal cantonal du canton de Fribourg du 11 juillet 2019 (605 2018 155). Vu : la décision du 13 février 2018 par laquelle la Caisse de compensation du canton de Fribourg a rejeté la demande d'allocation de naissance déposée par A.________ pour son fils B.________, né le 26 septembre 2017, l'arrêt du 11 juillet 2019, à teneur duquel la Cour des assurances sociales du Tribunal cantonal du canton de Fribourg a rejeté le recours formé par A.________ contre la décision du 13 février 2018, le recours interjeté par A.________ contre ce jugement,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p. 286; 142 III 364 consid. 2.4 p. 368; 140 III 86 consid. 2 p. 89), qu'en l'espèce, la cour cantonale a tout d'abord considéré que la condition posée à l'art. 2 al. 3 let. b de l'ordonnance du 31 octobre 2007 sur les allocations familiales (OAFam; RS 836.21), à savoir l'existence d'un domicile ou d'une résidence habituelle de la mère en Suisse durant les neuf mois précédant la naissance de l'enfant, n'était pas remplie, qu'elle a ensuite retenu qu'on ne pouvait déduire aucune violation du principe de l'égalité de traitement, tel que garanti par l' art. 8 Cst. , du fait que la condition posée à l' art. 2 al. 3 let. b OAFam ne peut être réalisée que par la mère, à l'exclusion du père, qu'en effet, d'après la juridiction précédente, l'octroi d'une allocation de naissance étant liée à la grossesse et à l'accouchement, il ne s'agit pas d'une condition personnelle qui pourrait être remplie indifféremment par la mère ou par le père et qui serait imposée arbitrairement à la mère, à l'exclusion du père, que dans son écriture, le recourant ne discute pas la motivation du jugement entrepris, qu'en effet, il se contente d'indiquer que si le service de l'immigration du canton de Fribourg avait octroyé à la mère de l'enfant un permis de séjour, celle-ci aurait été sur le territoire suisse "de manière officielle" depuis le mois d'octobre 2016, soit entre trois et quatre mois avant la conception de leur fils, que pour le surplus, il se borne à relever qu'il estime légitime de percevoir une allocation de naissance pour son fils dès lors qu'il a été le seul à subvenir aux besoins du foyer, que le recours ne répond dès lors pas aux exigences de motivation de l' art. 42 al. 1 et 2 LTF et doit être déclaré irrecevable, qu'en application de l'art. 66 al. 1, 2e phrase, LTF, il convient de renoncer à la perception de frais judiciaires, vu les circonstances du cas d'espèce, par ces motifs, le Juge unique prononce : 1. Le recours est irrecevable. 2. Il n'est pas perçu de frais judiciaires. 3. Le présent arrêt est communiqué aux parties, à la Cour des assurances sociales du Tribunal cantonal du canton de Fribourg et à l'Office fédéral des assurances sociales. Lucerne, le 17 septembre 2019 Au nom de la Ire Cour de droit social du Tribunal fédéral suisse Le Juge unique : Abrecht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