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531/2014 vom 23. Januar 2015</w:t>
      </w:r>
    </w:p>
    <w:p>
      <w:r>
        <w:t>Bundesgericht, 2015-01-23, DE</w:t>
      </w:r>
    </w:p>
    <w:p>
      <w:r>
        <w:rPr>
          <w:b/>
        </w:rPr>
        <w:t xml:space="preserve">Quelle: </w:t>
      </w:r>
      <w:r>
        <w:t>https://mcp.opencaselaw.ch/entscheid/bger_8C_531_2014</w:t>
      </w:r>
    </w:p>
    <w:p>
      <w:r>
        <w:t>FR: TF 8C 531/2014 du 23 janvier 2015</w:t>
      </w:r>
    </w:p>
    <w:p>
      <w:r>
        <w:t>IT: TF 8C 531/2014 del 23 gennaio 2015</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Hinsichtlich der Verletzung von Grundrechten gilt eine qualifizierte Rügepflicht ( Art. 106 Abs. 2 BGG ; zum Ganzen: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Im angefochtenen Entscheid sind die Bestimmungen und Grundsätze zur revisionsweisen Erhöhung, Herabsetzung oder Aufhebung einer Invalidenrente infolge erheblicher Änderung des Invaliditätsgrades sowie zu den Anforderungen an beweiswertige ärztliche Berichte und Gutachten zutreffend dargelegt. Darauf wird verwiesen.</w:t>
      </w:r>
    </w:p>
    <w:p>
      <w:r>
        <w:rPr>
          <w:b/>
        </w:rPr>
        <w:t>E. 3</w:t>
      </w:r>
    </w:p>
    <w:p>
      <w:r>
        <w:t>Gemäss dem insofern nicht umstrittenen vorinstanzlichen Entscheid beurteilt sich die Frage, ob die seit Februar 2001 ausgerichtete ganze Invalidenrente revisionsweise herabzusetzen ist, durch Vergleich der Sachverhalte im Zeitpunkt der Rentenverfügung vom 5. September 2002 einerseits und der Revisionsverfügung vom 16. Januar 2013 anderseits.</w:t>
      </w:r>
    </w:p>
    <w:p>
      <w:r>
        <w:rPr>
          <w:b/>
        </w:rPr>
        <w:t>E. 4</w:t>
      </w:r>
    </w:p>
    <w:p>
      <w:r>
        <w:t>Das kantonale Gericht ist zum Ergebnis gelangt, nunmehr bestehe aus rheumatologischer Sicht für angepasste Tätigkeit eine volle Arbeitsfähigkeit und aus psychiatrischer Sicht eine solche von 50 %. Damit sei eine anspruchsrelevante Sachverhaltsänderung ausgewiesen.</w:t>
      </w:r>
    </w:p>
    <w:p>
      <w:r>
        <w:rPr>
          <w:b/>
        </w:rPr>
        <w:t>E. 5</w:t>
      </w:r>
    </w:p>
    <w:p>
      <w:r>
        <w:t>Die Beurteilung, wonach aus psychiatrischer Sicht eine 50%ige Arbeitsfähigkeit in angepassten Tätigkeiten besteht, stützt sich auf das Verlaufsgutachten des Dr. med. C.________ vom 7. Februar 2012. Sie ist letztinstanzlich nicht umstritten.</w:t>
      </w:r>
    </w:p>
    <w:p>
      <w:r>
        <w:rPr>
          <w:b/>
        </w:rPr>
        <w:t>E. 6</w:t>
      </w:r>
    </w:p>
    <w:p>
      <w:r>
        <w:t>Die Einwände der Beschwerdeführerin betreffen die Beurteilung von Gesundheitszustand und Arbeitsfähigkeit aus somatomedizinischer Sicht. Das kantonale Gericht stützt sich hiebei namentlich auf die gutachterliche Beurteilung gemäss Expertise vom 23. November 2010/ 27. Januar 2011 und ergänzenden Stellungnahmen der Dr. med. B.________.</w:t>
      </w:r>
    </w:p>
    <w:p>
      <w:r>
        <w:rPr>
          <w:b/>
        </w:rPr>
        <w:t>E. 6.1</w:t>
      </w:r>
    </w:p>
    <w:p>
      <w:r>
        <w:t>Die Versicherte erneuert ihren Einwand, die Expertin sei als befangen zu betrachten, weshalb auf ihre Ausführungen nicht abgestellt werden könne. Sie beruft sich dabei auf eine Äusserung der Gutachterin in einem an die IV-Stelle gerichteten Schreiben vom 9. Oktober 2010. Nach Auffassung des kantonale Gerichts lässt diese Äusserung nicht auf Befangenheit schliessen.</w:t>
      </w:r>
    </w:p>
    <w:p>
      <w:r>
        <w:rPr>
          <w:b/>
        </w:rPr>
        <w:t>E. 6.1.1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f.; SVR 2013 IV Nr. 35 S. 105, 9C_689/2012 E. 2.2; vgl. auch BGE 137 V 210 E. 2.1.3 S. 231).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 BGE 137 V 210 E. 2.1.3 S. 232). Ob bei einer gegebenen Sachlage auf die Voreingenommenheit des Sachverständigen zu schliessen ist, stellt eine vom Bundesgericht frei überprüfbare Rechtsfrage dar (SVR 2010 IV Nr. 36 S. 112, 9C_893/2009 E. 1.3).</w:t>
      </w:r>
    </w:p>
    <w:p>
      <w:r>
        <w:rPr>
          <w:b/>
        </w:rPr>
        <w:t>E. 6.1.2</w:t>
      </w:r>
    </w:p>
    <w:p>
      <w:r>
        <w:t>Im Schreiben an die IV-Stelle vom 9. Oktober 2010 verwies Dr. med. B.________ zunächst auf einen anderen Arztbericht, in welchem eine Evaluation der funktionellen Leistungsfähigkeit (EFL) als notwendig bezeichnet wurde. Sie äusserte sich sodann wie folgt: "Um bessere Karten in einer eventuell folgenden rechtlichen Beurteilung zu haben, empfehlen wir hier die Durchführung einer EFL. Ich ersuche Sie um entsprechende Bewilligung." Das kantonale Gericht hat erwogen, die Expertin habe damit nur angestrebt, ihr Gutachten so zu verfassen, dass es umfassend sei und den von der Rechtsprechung definierten Qualitätsrichtlinien genüge, welche insbesondere bei einer allfälligen gerichtlichen Überprüfung zum Zuge kämen. Das sei ein Indiz für eine korrekte Auftragserfüllung. Die gegenteilige Auffassung sei abwegig. Die beanstandete Äusserung kann in der Tat im Sinne der vorinstanzlichen Erwägungen interpretiert werden. Bei objektiver Betrachtung ist es aber entgegen der Beurteilung des kantonalen Gerichts keineswegs abwegig, sondern mindestens gleich plausibel, sie so zu verstehen, dass die Expertin die Erfolgsaussichten der Verwaltung in einer allfälligen rechtlichen Auseinandersetzung verbessern wollte. Die Redewendung, bessere Karten zu haben, wird denn auch gemeinhin auf bessere Erfolgsaussichten in einer bestimmten Sache gemünzt. Rät die Expertin der Verwaltung ein Vorgehen, damit diese in einem Rechtsstreit bessere Erfolgsaussichten habe, erweckt dies nach dem gebotenen strengen Massstab objektiv den Anschein mangelnder Unparteilichkeit, zumal der IV-Stelle in einem solchen Verfahren die Versicherte gegenübergestanden hätte. Nicht anders wäre im gegenteiligen Fall zu entscheiden, wenn die Expertin der Versicherten zur Verbesserung von deren prozessualen Chancen einen bestimmten Rat gegeben hätte. Folglich kann auf die gutachterlichen Aussagen der Dr. med. B.________ nicht abgestellt werden.</w:t>
      </w:r>
    </w:p>
    <w:p>
      <w:r>
        <w:rPr>
          <w:b/>
        </w:rPr>
        <w:t>E. 6.2</w:t>
      </w:r>
    </w:p>
    <w:p>
      <w:r>
        <w:t>Die übrigen medizinischen Akten gestatten inhaltlich keine verlässliche Beurteilung des körperlichen Gesundheitszustandes und seiner Auswirkungen auf die Arbeitsfähigkeit. Das gilt auch für die von einem Unfallversicherer eingeholten ärztlichen Stellungnahmen, auf die sich die IV-Stelle beruft, und für die von der Versicherten aufgelegten Berichte ihres Handchirurgen. Daher ist durch die Vorinstanz ein medizinisches Gutachten einzuholen. In diesem Sinne ist die Beschwerde gutzuheissen. Die neue Expertise kann entgegen der von der Beschwerdeführerin vertretenen Auffassung auch für das hauptsächlich zur Diskussion stehende CRPS erneut von einem Arzt oder einer Ärztin internistisch-rheumatologischer Fachrichtung erstellt werden. Sollte die sachverständige Person aufgrund ihrer Abklärungen zur Auffassung gelangen, es seien auch andere Fachbereiche mit einzubeziehen, sind die Beweise entsprechend zu ergänzen.</w:t>
      </w:r>
    </w:p>
    <w:p>
      <w:r>
        <w:rPr>
          <w:b/>
        </w:rPr>
        <w:t>E. 6.3</w:t>
      </w:r>
    </w:p>
    <w:p>
      <w:r>
        <w:t>Die Versicherte postuliert sodann, konsequenterweise müsse auch der EFL-Bericht vom 20. Oktober 2010 aus dem Recht gewiesen werden, da die Abklärungsstelle von der befangenen Expertin Dr. med. B.________ ausgewählt und instruiert worden sei. Es ginge zu weit, den Anschein der Befangenheit auch auf die EFL-Abklärungspersonen auszudehnen, zumal keine Anhaltspunkte dafür bestehen, dass diese von Dr. med. B.________ in parteiischer Weise beeinflusst wurden oder in anderer Weise befangen sein könnten. Immerhin verweist der EFL-Bericht aber unter dem Titel "Medizinische Angaben" auf das Gutachten der Dr. med. B.________, welches nach dem Gesagten keine verlässliche Beurteilungsgrundlage bildet. Die sachverständige Person, welche die neue Begutachtung durchführen wird, wird unter Berücksichtigung dieses Umstandes zu prüfen haben, ob weitere EFL-Abklärungen erforderlich sind.</w:t>
      </w:r>
    </w:p>
    <w:p>
      <w:r>
        <w:rPr>
          <w:b/>
        </w:rPr>
        <w:t>E. 7</w:t>
      </w:r>
    </w:p>
    <w:p>
      <w:r>
        <w:t>Zu prüfen bleibt, ob die IV-Stelle der Versicherten die Kosten der von dieser eingeholten Berichte des Handchirurgen zu erstatten hat. Die Voraussetzungen hiefür sind nicht erfüllt, da keine pflichtwidrig unterlassene Abklärung durch die Verwaltung Anlass für die Einholung der Berichte bot und diese keine relevanten neuen Erkenntnisse gebracht haben. Das kantonale Gericht hat daher einen Auslagenersatz zu Recht abgelehnt ( Art. 45 Abs. 1 ATSG ; SVR 2011 IV Nr. 13 S. 35, 9C_178/2010; RKUV 2005 Nr. U 547 S. 221, U 85/04 E. 2.1; Urteil 8C_973/2012 vom 4. März 2013 E. 5). Die Beschwerde ist diesbezüglich abzuweisen.</w:t>
      </w:r>
    </w:p>
    <w:p>
      <w:r>
        <w:rPr>
          <w:b/>
        </w:rPr>
        <w:t>E. 8</w:t>
      </w:r>
    </w:p>
    <w:p>
      <w:r>
        <w:t>Die Rückweisung der Sache an die Vorinstanz (mit noch offenem Ausgang) gilt praxisgemäss als Obsiegen der Beschwerde führenden Partei (vgl. SVR 2013 IV Nr. 26 S. 75, 8C_54/2013 E. 6). Hingegen ist die Versicherte hinsichtlich Auslagenersatz unterlegen. Gesamthaft ist es gerechtfertigt, die Gerichtskosten der Beschwerdegegnerin aufzuerlegen und diese zur Bezahlung einer reduzierten Parteientschädigung an die Beschwerdeführerin zu verpflichten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